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bookmarkStart w:id="0" w:name="_GoBack"/>
            <w:bookmarkEnd w:id="0"/>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CE257C"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C33B58">
        <w:rPr>
          <w:b/>
          <w:color w:val="0000FF"/>
        </w:rPr>
        <w:t>5</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F75533">
          <w:rPr>
            <w:noProof/>
            <w:webHidden/>
          </w:rPr>
          <w:t>3</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F75533">
          <w:rPr>
            <w:noProof/>
            <w:webHidden/>
          </w:rPr>
          <w:t>4</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F75533">
          <w:rPr>
            <w:noProof/>
            <w:webHidden/>
          </w:rPr>
          <w:t>4</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F75533">
          <w:rPr>
            <w:noProof/>
            <w:webHidden/>
          </w:rPr>
          <w:t>4</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F75533">
          <w:rPr>
            <w:noProof/>
            <w:webHidden/>
          </w:rPr>
          <w:t>5</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F75533">
          <w:rPr>
            <w:noProof/>
            <w:webHidden/>
          </w:rPr>
          <w:t>7</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F75533">
          <w:rPr>
            <w:noProof/>
            <w:webHidden/>
          </w:rPr>
          <w:t>8</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F75533">
          <w:rPr>
            <w:noProof/>
            <w:webHidden/>
          </w:rPr>
          <w:t>9</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F75533">
          <w:rPr>
            <w:noProof/>
            <w:webHidden/>
          </w:rPr>
          <w:t>9</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F75533">
          <w:rPr>
            <w:noProof/>
            <w:webHidden/>
          </w:rPr>
          <w:t>9</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F75533">
          <w:rPr>
            <w:noProof/>
            <w:webHidden/>
          </w:rPr>
          <w:t>9</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F75533">
          <w:rPr>
            <w:noProof/>
            <w:webHidden/>
          </w:rPr>
          <w:t>10</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F75533">
          <w:rPr>
            <w:noProof/>
            <w:webHidden/>
          </w:rPr>
          <w:t>10</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F75533">
          <w:rPr>
            <w:noProof/>
            <w:webHidden/>
          </w:rPr>
          <w:t>10</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F75533">
          <w:rPr>
            <w:noProof/>
            <w:webHidden/>
          </w:rPr>
          <w:t>11</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F75533">
          <w:rPr>
            <w:noProof/>
            <w:webHidden/>
          </w:rPr>
          <w:t>12</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F75533">
          <w:rPr>
            <w:noProof/>
            <w:webHidden/>
          </w:rPr>
          <w:t>12</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F75533">
          <w:rPr>
            <w:noProof/>
            <w:webHidden/>
          </w:rPr>
          <w:t>12</w:t>
        </w:r>
        <w:r w:rsidR="00496683">
          <w:rPr>
            <w:noProof/>
            <w:webHidden/>
          </w:rPr>
          <w:fldChar w:fldCharType="end"/>
        </w:r>
      </w:hyperlink>
    </w:p>
    <w:p w:rsidR="00496683" w:rsidRPr="00E33D14" w:rsidRDefault="00CE257C">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F75533">
          <w:rPr>
            <w:noProof/>
            <w:webHidden/>
          </w:rPr>
          <w:t>12</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F75533">
          <w:rPr>
            <w:noProof/>
            <w:webHidden/>
          </w:rPr>
          <w:t>13</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F75533">
          <w:rPr>
            <w:noProof/>
            <w:webHidden/>
          </w:rPr>
          <w:t>18</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F75533">
          <w:rPr>
            <w:noProof/>
            <w:webHidden/>
          </w:rPr>
          <w:t>20</w:t>
        </w:r>
        <w:r w:rsidR="00496683">
          <w:rPr>
            <w:noProof/>
            <w:webHidden/>
          </w:rPr>
          <w:fldChar w:fldCharType="end"/>
        </w:r>
      </w:hyperlink>
    </w:p>
    <w:p w:rsidR="00496683" w:rsidRPr="00E33D14" w:rsidRDefault="00CE257C">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F75533">
          <w:rPr>
            <w:noProof/>
            <w:webHidden/>
          </w:rPr>
          <w:t>21</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388265435"/>
      <w:r w:rsidR="00270A47" w:rsidRPr="006B3308">
        <w:lastRenderedPageBreak/>
        <w:t>ОБЩИЕ ПОЛОЖЕНИЯ</w:t>
      </w:r>
      <w:bookmarkEnd w:id="2"/>
    </w:p>
    <w:p w:rsidR="00BB586E" w:rsidRDefault="008171ED" w:rsidP="00CE257C">
      <w:pPr>
        <w:pStyle w:val="31"/>
      </w:pPr>
      <w:bookmarkStart w:id="3" w:name="_Toc388265436"/>
      <w:r w:rsidRPr="008577D4">
        <w:t>Нормативно-правовое регулирование</w:t>
      </w:r>
      <w:bookmarkEnd w:id="3"/>
    </w:p>
    <w:p w:rsidR="008171ED" w:rsidRPr="001F4FB5" w:rsidRDefault="008171ED" w:rsidP="002F01C9">
      <w:pPr>
        <w:ind w:firstLine="680"/>
      </w:pPr>
      <w:bookmarkStart w:id="4" w:name="_Ref119427085"/>
      <w:proofErr w:type="gramStart"/>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w:t>
      </w:r>
      <w:proofErr w:type="gramEnd"/>
      <w:r w:rsidR="001F4FB5" w:rsidRPr="001F4FB5">
        <w:t xml:space="preserve">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5" w:name="_Toc388265437"/>
      <w:r w:rsidRPr="001F4FB5">
        <w:t>Основания для проведения закупки</w:t>
      </w:r>
      <w:bookmarkEnd w:id="5"/>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6" w:name="_Toc388265438"/>
      <w:r w:rsidRPr="002A6A1F">
        <w:t>Заказчи</w:t>
      </w:r>
      <w:r>
        <w:t>к</w:t>
      </w:r>
      <w:bookmarkEnd w:id="6"/>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10"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1"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7" w:name="_Toc388265439"/>
      <w:r w:rsidRPr="00347B5A">
        <w:t>Контактное лицо</w:t>
      </w:r>
      <w:bookmarkEnd w:id="7"/>
    </w:p>
    <w:p w:rsidR="00347B5A" w:rsidRDefault="002F01C9" w:rsidP="002F01C9">
      <w:pPr>
        <w:tabs>
          <w:tab w:val="left" w:pos="6040"/>
        </w:tabs>
        <w:spacing w:line="0" w:lineRule="atLeast"/>
        <w:ind w:firstLine="680"/>
      </w:pPr>
      <w:proofErr w:type="spellStart"/>
      <w:r>
        <w:t>Федуленко</w:t>
      </w:r>
      <w:proofErr w:type="spellEnd"/>
      <w:r>
        <w:t xml:space="preserve">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2"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proofErr w:type="spellStart"/>
        <w:r w:rsidR="00347B5A"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CE257C">
      <w:pPr>
        <w:pStyle w:val="31"/>
      </w:pPr>
      <w:bookmarkStart w:id="8" w:name="_Toc388265440"/>
      <w:r w:rsidRPr="002A6A1F">
        <w:t>Способ закупки</w:t>
      </w:r>
      <w:bookmarkEnd w:id="8"/>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9" w:name="_Toc388265441"/>
      <w:r w:rsidRPr="00347B5A">
        <w:t>Предмет договора</w:t>
      </w:r>
      <w:bookmarkEnd w:id="9"/>
    </w:p>
    <w:p w:rsidR="00347B5A" w:rsidRPr="00B01D6A" w:rsidRDefault="00347B5A" w:rsidP="002F01C9">
      <w:pPr>
        <w:tabs>
          <w:tab w:val="left" w:pos="6040"/>
        </w:tabs>
        <w:spacing w:line="0" w:lineRule="atLeast"/>
        <w:ind w:firstLine="680"/>
      </w:pPr>
      <w:r w:rsidRPr="00C132B3">
        <w:rPr>
          <w:b/>
          <w:color w:val="0000FF"/>
        </w:rPr>
        <w:t xml:space="preserve">Поставка </w:t>
      </w:r>
      <w:r w:rsidR="00D1022A" w:rsidRPr="00D1022A">
        <w:rPr>
          <w:b/>
          <w:color w:val="0000FF"/>
        </w:rPr>
        <w:t>изделий медицинского назначения</w:t>
      </w:r>
      <w:r w:rsidR="00D1022A" w:rsidRPr="00B01D6A">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CE257C">
      <w:pPr>
        <w:pStyle w:val="31"/>
      </w:pPr>
      <w:bookmarkStart w:id="10" w:name="_Toc388265442"/>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4501CA">
        <w:rPr>
          <w:b/>
          <w:color w:val="0000FF"/>
        </w:rPr>
        <w:t>в соответствии с графиком поставки</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CE257C">
      <w:pPr>
        <w:pStyle w:val="31"/>
      </w:pPr>
      <w:bookmarkStart w:id="11" w:name="_Toc388265443"/>
      <w:r w:rsidRPr="00822AB5">
        <w:t>Сведения о начальной (максимальной) цене договора (цене лота)</w:t>
      </w:r>
      <w:bookmarkEnd w:id="11"/>
    </w:p>
    <w:p w:rsidR="0039774D" w:rsidRPr="00403874" w:rsidRDefault="004501CA" w:rsidP="00822AB5">
      <w:pPr>
        <w:rPr>
          <w:b/>
          <w:color w:val="0033CC"/>
        </w:rPr>
      </w:pPr>
      <w:r>
        <w:rPr>
          <w:b/>
          <w:color w:val="0000FF"/>
        </w:rPr>
        <w:t>311 600</w:t>
      </w:r>
      <w:r w:rsidR="00536FD0" w:rsidRPr="00E266C4">
        <w:rPr>
          <w:b/>
          <w:color w:val="0000FF"/>
        </w:rPr>
        <w:t xml:space="preserve"> (</w:t>
      </w:r>
      <w:r>
        <w:rPr>
          <w:b/>
          <w:color w:val="0000FF"/>
        </w:rPr>
        <w:t>Триста одиннадцать тысяч шестьсот</w:t>
      </w:r>
      <w:r w:rsidR="00536FD0" w:rsidRPr="00E266C4">
        <w:rPr>
          <w:b/>
          <w:color w:val="0000FF"/>
        </w:rPr>
        <w:t>) Российских рублей 00 копеек</w:t>
      </w:r>
      <w:r>
        <w:rPr>
          <w:b/>
          <w:color w:val="0000FF"/>
        </w:rPr>
        <w:t>.</w:t>
      </w:r>
    </w:p>
    <w:p w:rsidR="0039774D" w:rsidRDefault="0039774D" w:rsidP="00CE257C">
      <w:pPr>
        <w:pStyle w:val="31"/>
      </w:pPr>
      <w:bookmarkStart w:id="12" w:name="_Toc388265444"/>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3" w:name="_Toc388265445"/>
      <w:r w:rsidRPr="00B10FC0">
        <w:t>Сведения о включенны</w:t>
      </w:r>
      <w:r>
        <w:t>х в цену товара расходах</w:t>
      </w:r>
      <w:bookmarkEnd w:id="13"/>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4" w:name="_Toc388265446"/>
      <w:r w:rsidRPr="00C45D84">
        <w:t>Источник финансирования</w:t>
      </w:r>
      <w:bookmarkEnd w:id="14"/>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5" w:name="_Toc388265447"/>
      <w:r w:rsidRPr="00D82AC3">
        <w:t>Форма, сроки и порядок оплаты поставляемого товара</w:t>
      </w:r>
      <w:bookmarkEnd w:id="15"/>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6" w:name="_Toc388265448"/>
      <w:r>
        <w:t>Информационное обеспечение</w:t>
      </w:r>
      <w:bookmarkEnd w:id="16"/>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388265449"/>
      <w:r w:rsidR="00BF501E" w:rsidRPr="00BF501E">
        <w:rPr>
          <w:bCs w:val="0"/>
          <w:color w:val="000000"/>
          <w:sz w:val="24"/>
          <w:szCs w:val="24"/>
        </w:rPr>
        <w:lastRenderedPageBreak/>
        <w:t>Характеристики и количество поставляемого товара</w:t>
      </w:r>
      <w:bookmarkEnd w:id="17"/>
    </w:p>
    <w:p w:rsidR="00BF501E" w:rsidRPr="00F24E15" w:rsidRDefault="00E664D5" w:rsidP="00BF501E">
      <w:pPr>
        <w:jc w:val="center"/>
        <w:rPr>
          <w:b/>
        </w:rPr>
      </w:pPr>
      <w:r w:rsidRPr="008B542D">
        <w:rPr>
          <w:b/>
          <w:color w:val="0000FF"/>
        </w:rPr>
        <w:t xml:space="preserve">на поставку </w:t>
      </w:r>
      <w:r w:rsidR="00D1022A" w:rsidRPr="00D1022A">
        <w:rPr>
          <w:b/>
          <w:color w:val="0000FF"/>
        </w:rPr>
        <w:t>изделий медицинского назначения</w:t>
      </w:r>
    </w:p>
    <w:p w:rsidR="00D15F15" w:rsidRDefault="00D15F15" w:rsidP="00D15F15">
      <w:pPr>
        <w:jc w:val="center"/>
        <w:rPr>
          <w:b/>
        </w:rPr>
      </w:pPr>
    </w:p>
    <w:tbl>
      <w:tblPr>
        <w:tblW w:w="9923" w:type="dxa"/>
        <w:tblInd w:w="-34" w:type="dxa"/>
        <w:tblLayout w:type="fixed"/>
        <w:tblLook w:val="04A0" w:firstRow="1" w:lastRow="0" w:firstColumn="1" w:lastColumn="0" w:noHBand="0" w:noVBand="1"/>
      </w:tblPr>
      <w:tblGrid>
        <w:gridCol w:w="426"/>
        <w:gridCol w:w="1701"/>
        <w:gridCol w:w="1701"/>
        <w:gridCol w:w="1276"/>
        <w:gridCol w:w="1984"/>
        <w:gridCol w:w="851"/>
        <w:gridCol w:w="708"/>
        <w:gridCol w:w="1276"/>
      </w:tblGrid>
      <w:tr w:rsidR="00413A60" w:rsidRPr="00F449E7" w:rsidTr="00CA5476">
        <w:trPr>
          <w:trHeight w:val="630"/>
        </w:trPr>
        <w:tc>
          <w:tcPr>
            <w:tcW w:w="426" w:type="dxa"/>
            <w:vMerge w:val="restart"/>
            <w:tcBorders>
              <w:top w:val="single" w:sz="4" w:space="0" w:color="auto"/>
              <w:left w:val="single" w:sz="4" w:space="0" w:color="auto"/>
              <w:right w:val="single" w:sz="4" w:space="0" w:color="auto"/>
            </w:tcBorders>
          </w:tcPr>
          <w:p w:rsidR="00413A60" w:rsidRPr="00F449E7" w:rsidRDefault="00413A60" w:rsidP="002F01C9">
            <w:pPr>
              <w:jc w:val="left"/>
              <w:rPr>
                <w:b/>
                <w:bCs/>
                <w:color w:val="000000"/>
                <w:sz w:val="22"/>
                <w:szCs w:val="22"/>
              </w:rPr>
            </w:pPr>
            <w:r w:rsidRPr="00F449E7">
              <w:rPr>
                <w:b/>
                <w:bCs/>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13A60" w:rsidRPr="00F449E7" w:rsidRDefault="00413A60" w:rsidP="002F01C9">
            <w:pPr>
              <w:ind w:left="-108" w:right="-108"/>
              <w:jc w:val="center"/>
              <w:rPr>
                <w:b/>
                <w:bCs/>
                <w:color w:val="000000"/>
                <w:sz w:val="22"/>
                <w:szCs w:val="22"/>
              </w:rPr>
            </w:pPr>
            <w:r w:rsidRPr="00F449E7">
              <w:rPr>
                <w:b/>
                <w:bCs/>
                <w:color w:val="000000"/>
                <w:sz w:val="22"/>
                <w:szCs w:val="22"/>
              </w:rPr>
              <w:t>ОКДП</w:t>
            </w:r>
          </w:p>
        </w:tc>
        <w:tc>
          <w:tcPr>
            <w:tcW w:w="1701" w:type="dxa"/>
            <w:tcBorders>
              <w:top w:val="single" w:sz="4" w:space="0" w:color="auto"/>
              <w:left w:val="nil"/>
              <w:bottom w:val="single" w:sz="4" w:space="0" w:color="auto"/>
              <w:right w:val="single" w:sz="4" w:space="0" w:color="auto"/>
            </w:tcBorders>
            <w:shd w:val="clear" w:color="auto" w:fill="auto"/>
            <w:hideMark/>
          </w:tcPr>
          <w:p w:rsidR="00413A60" w:rsidRPr="00F449E7" w:rsidRDefault="00413A60" w:rsidP="004F106B">
            <w:pPr>
              <w:ind w:left="-108" w:right="-108"/>
              <w:jc w:val="center"/>
              <w:rPr>
                <w:b/>
                <w:bCs/>
                <w:color w:val="000000"/>
                <w:sz w:val="22"/>
                <w:szCs w:val="22"/>
              </w:rPr>
            </w:pPr>
            <w:r w:rsidRPr="00F449E7">
              <w:rPr>
                <w:b/>
                <w:bCs/>
                <w:color w:val="000000"/>
                <w:sz w:val="22"/>
                <w:szCs w:val="22"/>
              </w:rPr>
              <w:t>ОКВЭД</w:t>
            </w:r>
          </w:p>
        </w:tc>
        <w:tc>
          <w:tcPr>
            <w:tcW w:w="1276" w:type="dxa"/>
            <w:tcBorders>
              <w:top w:val="single" w:sz="4" w:space="0" w:color="auto"/>
              <w:left w:val="nil"/>
              <w:bottom w:val="single" w:sz="4" w:space="0" w:color="auto"/>
              <w:right w:val="single" w:sz="4" w:space="0" w:color="auto"/>
            </w:tcBorders>
            <w:shd w:val="clear" w:color="auto" w:fill="auto"/>
            <w:hideMark/>
          </w:tcPr>
          <w:p w:rsidR="00413A60" w:rsidRPr="00F449E7" w:rsidRDefault="00413A60" w:rsidP="002F01C9">
            <w:pPr>
              <w:ind w:left="-108" w:right="-108"/>
              <w:jc w:val="center"/>
              <w:rPr>
                <w:b/>
                <w:bCs/>
                <w:color w:val="000000"/>
                <w:sz w:val="22"/>
                <w:szCs w:val="22"/>
              </w:rPr>
            </w:pPr>
            <w:proofErr w:type="spellStart"/>
            <w:r w:rsidRPr="00F449E7">
              <w:rPr>
                <w:b/>
                <w:bCs/>
                <w:color w:val="000000"/>
                <w:sz w:val="22"/>
                <w:szCs w:val="22"/>
              </w:rPr>
              <w:t>Наим</w:t>
            </w:r>
            <w:r w:rsidR="004F106B">
              <w:rPr>
                <w:b/>
                <w:bCs/>
                <w:color w:val="000000"/>
                <w:sz w:val="22"/>
                <w:szCs w:val="22"/>
              </w:rPr>
              <w:t>ено-вание</w:t>
            </w:r>
            <w:proofErr w:type="spellEnd"/>
          </w:p>
          <w:p w:rsidR="00413A60" w:rsidRPr="00F449E7" w:rsidRDefault="00413A60" w:rsidP="002F01C9">
            <w:pPr>
              <w:ind w:left="-108" w:right="-108"/>
              <w:jc w:val="center"/>
              <w:rPr>
                <w:b/>
                <w:bCs/>
                <w:color w:val="000000"/>
                <w:sz w:val="22"/>
                <w:szCs w:val="22"/>
              </w:rPr>
            </w:pPr>
            <w:r w:rsidRPr="00F449E7">
              <w:rPr>
                <w:b/>
                <w:bCs/>
                <w:color w:val="000000"/>
                <w:sz w:val="22"/>
                <w:szCs w:val="22"/>
              </w:rPr>
              <w:t>товара (МНН)</w:t>
            </w:r>
          </w:p>
        </w:tc>
        <w:tc>
          <w:tcPr>
            <w:tcW w:w="1984" w:type="dxa"/>
            <w:tcBorders>
              <w:top w:val="single" w:sz="4" w:space="0" w:color="auto"/>
              <w:left w:val="nil"/>
              <w:bottom w:val="single" w:sz="4" w:space="0" w:color="auto"/>
              <w:right w:val="single" w:sz="4" w:space="0" w:color="auto"/>
            </w:tcBorders>
            <w:shd w:val="clear" w:color="auto" w:fill="auto"/>
            <w:hideMark/>
          </w:tcPr>
          <w:p w:rsidR="004F106B" w:rsidRDefault="00413A60" w:rsidP="004F106B">
            <w:pPr>
              <w:ind w:left="-108" w:right="-108"/>
              <w:jc w:val="center"/>
              <w:rPr>
                <w:b/>
                <w:bCs/>
                <w:color w:val="000000"/>
                <w:sz w:val="22"/>
                <w:szCs w:val="22"/>
              </w:rPr>
            </w:pPr>
            <w:r w:rsidRPr="00F449E7">
              <w:rPr>
                <w:b/>
                <w:bCs/>
                <w:color w:val="000000"/>
                <w:sz w:val="22"/>
                <w:szCs w:val="22"/>
              </w:rPr>
              <w:t>Харак</w:t>
            </w:r>
            <w:r w:rsidR="004F106B">
              <w:rPr>
                <w:b/>
                <w:bCs/>
                <w:color w:val="000000"/>
                <w:sz w:val="22"/>
                <w:szCs w:val="22"/>
              </w:rPr>
              <w:t>тери</w:t>
            </w:r>
            <w:r w:rsidRPr="00F449E7">
              <w:rPr>
                <w:b/>
                <w:bCs/>
                <w:color w:val="000000"/>
                <w:sz w:val="22"/>
                <w:szCs w:val="22"/>
              </w:rPr>
              <w:t xml:space="preserve">стика </w:t>
            </w:r>
          </w:p>
          <w:p w:rsidR="00413A60" w:rsidRPr="00F449E7" w:rsidRDefault="00413A60" w:rsidP="004F106B">
            <w:pPr>
              <w:ind w:left="-108" w:right="-108"/>
              <w:jc w:val="center"/>
              <w:rPr>
                <w:b/>
                <w:bCs/>
                <w:color w:val="000000"/>
                <w:sz w:val="22"/>
                <w:szCs w:val="22"/>
              </w:rPr>
            </w:pPr>
            <w:r w:rsidRPr="00F449E7">
              <w:rPr>
                <w:b/>
                <w:bCs/>
                <w:color w:val="000000"/>
                <w:sz w:val="22"/>
                <w:szCs w:val="22"/>
              </w:rPr>
              <w:t>товара</w:t>
            </w:r>
          </w:p>
        </w:tc>
        <w:tc>
          <w:tcPr>
            <w:tcW w:w="851" w:type="dxa"/>
            <w:tcBorders>
              <w:top w:val="single" w:sz="4" w:space="0" w:color="auto"/>
              <w:left w:val="nil"/>
              <w:bottom w:val="single" w:sz="4" w:space="0" w:color="auto"/>
              <w:right w:val="single" w:sz="4" w:space="0" w:color="auto"/>
            </w:tcBorders>
            <w:shd w:val="clear" w:color="auto" w:fill="auto"/>
            <w:hideMark/>
          </w:tcPr>
          <w:p w:rsidR="00413A60" w:rsidRPr="00F449E7" w:rsidRDefault="00413A60" w:rsidP="002F01C9">
            <w:pPr>
              <w:jc w:val="center"/>
              <w:rPr>
                <w:b/>
                <w:bCs/>
                <w:color w:val="000000"/>
                <w:sz w:val="22"/>
                <w:szCs w:val="22"/>
              </w:rPr>
            </w:pPr>
            <w:r w:rsidRPr="00F449E7">
              <w:rPr>
                <w:b/>
                <w:bCs/>
                <w:color w:val="000000"/>
                <w:sz w:val="22"/>
                <w:szCs w:val="22"/>
              </w:rPr>
              <w:t>Ед.</w:t>
            </w:r>
          </w:p>
          <w:p w:rsidR="00413A60" w:rsidRPr="00F449E7" w:rsidRDefault="00413A60" w:rsidP="002F01C9">
            <w:pPr>
              <w:jc w:val="center"/>
              <w:rPr>
                <w:b/>
                <w:bCs/>
                <w:color w:val="000000"/>
                <w:sz w:val="22"/>
                <w:szCs w:val="22"/>
              </w:rPr>
            </w:pPr>
            <w:r w:rsidRPr="00F449E7">
              <w:rPr>
                <w:b/>
                <w:bCs/>
                <w:color w:val="000000"/>
                <w:sz w:val="22"/>
                <w:szCs w:val="22"/>
              </w:rPr>
              <w:t>изм.</w:t>
            </w:r>
          </w:p>
        </w:tc>
        <w:tc>
          <w:tcPr>
            <w:tcW w:w="708" w:type="dxa"/>
            <w:tcBorders>
              <w:top w:val="single" w:sz="4" w:space="0" w:color="auto"/>
              <w:left w:val="nil"/>
              <w:bottom w:val="single" w:sz="4" w:space="0" w:color="auto"/>
              <w:right w:val="single" w:sz="4" w:space="0" w:color="auto"/>
            </w:tcBorders>
            <w:shd w:val="clear" w:color="auto" w:fill="auto"/>
            <w:hideMark/>
          </w:tcPr>
          <w:p w:rsidR="00413A60" w:rsidRPr="00F449E7" w:rsidRDefault="00413A60" w:rsidP="002F01C9">
            <w:pPr>
              <w:jc w:val="center"/>
              <w:rPr>
                <w:b/>
                <w:bCs/>
                <w:color w:val="000000"/>
                <w:sz w:val="22"/>
                <w:szCs w:val="22"/>
              </w:rPr>
            </w:pPr>
            <w:r w:rsidRPr="00F449E7">
              <w:rPr>
                <w:b/>
                <w:bCs/>
                <w:color w:val="000000"/>
                <w:sz w:val="22"/>
                <w:szCs w:val="22"/>
              </w:rPr>
              <w:t>Кол-во</w:t>
            </w:r>
          </w:p>
        </w:tc>
        <w:tc>
          <w:tcPr>
            <w:tcW w:w="1276" w:type="dxa"/>
            <w:tcBorders>
              <w:top w:val="single" w:sz="4" w:space="0" w:color="auto"/>
              <w:left w:val="nil"/>
              <w:bottom w:val="single" w:sz="4" w:space="0" w:color="auto"/>
              <w:right w:val="single" w:sz="4" w:space="0" w:color="auto"/>
            </w:tcBorders>
          </w:tcPr>
          <w:p w:rsidR="00413A60" w:rsidRPr="00F449E7" w:rsidRDefault="00413A60" w:rsidP="002F01C9">
            <w:pPr>
              <w:jc w:val="center"/>
              <w:rPr>
                <w:b/>
                <w:bCs/>
                <w:color w:val="000000"/>
                <w:sz w:val="22"/>
                <w:szCs w:val="22"/>
              </w:rPr>
            </w:pPr>
            <w:r w:rsidRPr="00F449E7">
              <w:rPr>
                <w:b/>
                <w:bCs/>
                <w:color w:val="000000"/>
                <w:sz w:val="22"/>
                <w:szCs w:val="22"/>
              </w:rPr>
              <w:t>Период поставки</w:t>
            </w:r>
          </w:p>
        </w:tc>
      </w:tr>
      <w:tr w:rsidR="00413A60" w:rsidRPr="00F449E7" w:rsidTr="00CA5476">
        <w:trPr>
          <w:trHeight w:val="300"/>
        </w:trPr>
        <w:tc>
          <w:tcPr>
            <w:tcW w:w="426" w:type="dxa"/>
            <w:vMerge/>
            <w:tcBorders>
              <w:left w:val="single" w:sz="4" w:space="0" w:color="auto"/>
              <w:bottom w:val="single" w:sz="4" w:space="0" w:color="auto"/>
              <w:right w:val="single" w:sz="4" w:space="0" w:color="auto"/>
            </w:tcBorders>
          </w:tcPr>
          <w:p w:rsidR="00413A60" w:rsidRPr="00F449E7" w:rsidRDefault="00413A60" w:rsidP="002F01C9">
            <w:pPr>
              <w:jc w:val="center"/>
              <w:rPr>
                <w:b/>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13A60" w:rsidRPr="00F449E7" w:rsidRDefault="00413A60" w:rsidP="00CF76F5">
            <w:pPr>
              <w:jc w:val="center"/>
              <w:rPr>
                <w:b/>
                <w:bCs/>
                <w:color w:val="000000"/>
                <w:sz w:val="22"/>
                <w:szCs w:val="22"/>
              </w:rPr>
            </w:pPr>
            <w:r w:rsidRPr="00F449E7">
              <w:rPr>
                <w:b/>
                <w:color w:val="000000"/>
                <w:sz w:val="22"/>
                <w:szCs w:val="22"/>
              </w:rPr>
              <w:t>2423</w:t>
            </w:r>
            <w:r w:rsidR="00CF76F5">
              <w:rPr>
                <w:b/>
                <w:color w:val="000000"/>
                <w:sz w:val="22"/>
                <w:szCs w:val="22"/>
              </w:rPr>
              <w:t>258</w:t>
            </w:r>
          </w:p>
        </w:tc>
        <w:tc>
          <w:tcPr>
            <w:tcW w:w="1701" w:type="dxa"/>
            <w:tcBorders>
              <w:top w:val="nil"/>
              <w:left w:val="nil"/>
              <w:bottom w:val="single" w:sz="4" w:space="0" w:color="auto"/>
              <w:right w:val="single" w:sz="4" w:space="0" w:color="auto"/>
            </w:tcBorders>
            <w:shd w:val="clear" w:color="auto" w:fill="auto"/>
            <w:vAlign w:val="center"/>
            <w:hideMark/>
          </w:tcPr>
          <w:p w:rsidR="00413A60" w:rsidRPr="00F449E7" w:rsidRDefault="00413A60" w:rsidP="002F01C9">
            <w:pPr>
              <w:jc w:val="center"/>
              <w:rPr>
                <w:b/>
                <w:bCs/>
                <w:color w:val="000000"/>
                <w:sz w:val="22"/>
                <w:szCs w:val="22"/>
              </w:rPr>
            </w:pPr>
            <w:r w:rsidRPr="00F449E7">
              <w:rPr>
                <w:b/>
                <w:bCs/>
                <w:color w:val="000000"/>
                <w:sz w:val="22"/>
                <w:szCs w:val="22"/>
              </w:rPr>
              <w:t>24.42.2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2F01C9">
            <w:pPr>
              <w:jc w:val="center"/>
              <w:rPr>
                <w:sz w:val="22"/>
                <w:szCs w:val="22"/>
              </w:rPr>
            </w:pPr>
          </w:p>
          <w:p w:rsidR="00413A60" w:rsidRPr="00F449E7" w:rsidRDefault="00413A60" w:rsidP="002F01C9">
            <w:pPr>
              <w:jc w:val="center"/>
              <w:rPr>
                <w:sz w:val="22"/>
                <w:szCs w:val="22"/>
              </w:rPr>
            </w:pPr>
          </w:p>
          <w:p w:rsidR="00033AC4" w:rsidRPr="00033AC4" w:rsidRDefault="00413A60" w:rsidP="00CA5476">
            <w:pPr>
              <w:jc w:val="center"/>
              <w:rPr>
                <w:sz w:val="22"/>
                <w:szCs w:val="22"/>
              </w:rPr>
            </w:pPr>
            <w:proofErr w:type="spellStart"/>
            <w:r w:rsidRPr="00033AC4">
              <w:rPr>
                <w:sz w:val="22"/>
                <w:szCs w:val="22"/>
              </w:rPr>
              <w:t>Гиалуро</w:t>
            </w:r>
            <w:r w:rsidR="00D72A9D">
              <w:rPr>
                <w:sz w:val="22"/>
                <w:szCs w:val="22"/>
              </w:rPr>
              <w:softHyphen/>
            </w:r>
            <w:r w:rsidRPr="00033AC4">
              <w:rPr>
                <w:sz w:val="22"/>
                <w:szCs w:val="22"/>
              </w:rPr>
              <w:t>новая</w:t>
            </w:r>
            <w:proofErr w:type="spellEnd"/>
            <w:r w:rsidRPr="00033AC4">
              <w:rPr>
                <w:sz w:val="22"/>
                <w:szCs w:val="22"/>
              </w:rPr>
              <w:t xml:space="preserve"> </w:t>
            </w:r>
          </w:p>
          <w:p w:rsidR="00413A60" w:rsidRPr="00F449E7" w:rsidRDefault="00413A60" w:rsidP="00CA5476">
            <w:pPr>
              <w:jc w:val="center"/>
              <w:rPr>
                <w:sz w:val="22"/>
                <w:szCs w:val="22"/>
              </w:rPr>
            </w:pPr>
            <w:r w:rsidRPr="00033AC4">
              <w:rPr>
                <w:sz w:val="22"/>
                <w:szCs w:val="22"/>
              </w:rPr>
              <w:t>кислота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2F01C9">
            <w:pPr>
              <w:jc w:val="center"/>
              <w:rPr>
                <w:color w:val="000000"/>
                <w:sz w:val="22"/>
                <w:szCs w:val="22"/>
              </w:rPr>
            </w:pPr>
          </w:p>
          <w:p w:rsidR="00413A60" w:rsidRPr="00F449E7" w:rsidRDefault="00413A60" w:rsidP="002F01C9">
            <w:pPr>
              <w:jc w:val="center"/>
              <w:rPr>
                <w:color w:val="000000"/>
                <w:sz w:val="22"/>
                <w:szCs w:val="22"/>
              </w:rPr>
            </w:pPr>
          </w:p>
          <w:p w:rsidR="00413A60" w:rsidRPr="00F449E7" w:rsidRDefault="00413A60" w:rsidP="002F01C9">
            <w:pPr>
              <w:jc w:val="center"/>
              <w:rPr>
                <w:color w:val="000000"/>
                <w:sz w:val="22"/>
                <w:szCs w:val="22"/>
              </w:rPr>
            </w:pPr>
            <w:r w:rsidRPr="00F449E7">
              <w:rPr>
                <w:color w:val="000000"/>
                <w:sz w:val="22"/>
                <w:szCs w:val="22"/>
              </w:rPr>
              <w:t>Изделие медицин</w:t>
            </w:r>
            <w:r w:rsidR="00D72A9D">
              <w:rPr>
                <w:color w:val="000000"/>
                <w:sz w:val="22"/>
                <w:szCs w:val="22"/>
              </w:rPr>
              <w:softHyphen/>
            </w:r>
            <w:r w:rsidRPr="00F449E7">
              <w:rPr>
                <w:color w:val="000000"/>
                <w:sz w:val="22"/>
                <w:szCs w:val="22"/>
              </w:rPr>
              <w:t>ского назначения - материал-гель для внутрикожной имплантации, ос</w:t>
            </w:r>
            <w:r w:rsidR="00D72A9D">
              <w:rPr>
                <w:color w:val="000000"/>
                <w:sz w:val="22"/>
                <w:szCs w:val="22"/>
              </w:rPr>
              <w:softHyphen/>
            </w:r>
            <w:r w:rsidRPr="00F449E7">
              <w:rPr>
                <w:color w:val="000000"/>
                <w:sz w:val="22"/>
                <w:szCs w:val="22"/>
              </w:rPr>
              <w:t>новной компо</w:t>
            </w:r>
            <w:r w:rsidR="00D72A9D">
              <w:rPr>
                <w:color w:val="000000"/>
                <w:sz w:val="22"/>
                <w:szCs w:val="22"/>
              </w:rPr>
              <w:softHyphen/>
            </w:r>
            <w:r w:rsidRPr="00F449E7">
              <w:rPr>
                <w:color w:val="000000"/>
                <w:sz w:val="22"/>
                <w:szCs w:val="22"/>
              </w:rPr>
              <w:t>нент: высокомо</w:t>
            </w:r>
            <w:r w:rsidR="00D72A9D">
              <w:rPr>
                <w:color w:val="000000"/>
                <w:sz w:val="22"/>
                <w:szCs w:val="22"/>
              </w:rPr>
              <w:softHyphen/>
            </w:r>
            <w:r w:rsidRPr="00F449E7">
              <w:rPr>
                <w:color w:val="000000"/>
                <w:sz w:val="22"/>
                <w:szCs w:val="22"/>
              </w:rPr>
              <w:t xml:space="preserve">лекулярная </w:t>
            </w:r>
            <w:proofErr w:type="spellStart"/>
            <w:r w:rsidRPr="00F449E7">
              <w:rPr>
                <w:color w:val="000000"/>
                <w:sz w:val="22"/>
                <w:szCs w:val="22"/>
              </w:rPr>
              <w:t>натив</w:t>
            </w:r>
            <w:r w:rsidR="00D72A9D">
              <w:rPr>
                <w:color w:val="000000"/>
                <w:sz w:val="22"/>
                <w:szCs w:val="22"/>
              </w:rPr>
              <w:softHyphen/>
            </w:r>
            <w:r w:rsidRPr="00F449E7">
              <w:rPr>
                <w:color w:val="000000"/>
                <w:sz w:val="22"/>
                <w:szCs w:val="22"/>
              </w:rPr>
              <w:t>ная</w:t>
            </w:r>
            <w:proofErr w:type="spellEnd"/>
            <w:r w:rsidRPr="00F449E7">
              <w:rPr>
                <w:color w:val="000000"/>
                <w:sz w:val="22"/>
                <w:szCs w:val="22"/>
              </w:rPr>
              <w:t xml:space="preserve"> </w:t>
            </w:r>
            <w:proofErr w:type="spellStart"/>
            <w:r w:rsidRPr="00F449E7">
              <w:rPr>
                <w:color w:val="000000"/>
                <w:sz w:val="22"/>
                <w:szCs w:val="22"/>
              </w:rPr>
              <w:t>гиалуроновая</w:t>
            </w:r>
            <w:proofErr w:type="spellEnd"/>
            <w:r w:rsidRPr="00F449E7">
              <w:rPr>
                <w:color w:val="000000"/>
                <w:sz w:val="22"/>
                <w:szCs w:val="22"/>
              </w:rPr>
              <w:t xml:space="preserve"> кислота с концен</w:t>
            </w:r>
            <w:r w:rsidR="00D72A9D">
              <w:rPr>
                <w:color w:val="000000"/>
                <w:sz w:val="22"/>
                <w:szCs w:val="22"/>
              </w:rPr>
              <w:softHyphen/>
            </w:r>
            <w:r w:rsidRPr="00F449E7">
              <w:rPr>
                <w:color w:val="000000"/>
                <w:sz w:val="22"/>
                <w:szCs w:val="22"/>
              </w:rPr>
              <w:t xml:space="preserve">трацией 14 мг/мл, молекулярной массой 3,8 </w:t>
            </w:r>
            <w:proofErr w:type="spellStart"/>
            <w:r w:rsidRPr="00F449E7">
              <w:rPr>
                <w:color w:val="000000"/>
                <w:sz w:val="22"/>
                <w:szCs w:val="22"/>
              </w:rPr>
              <w:t>Мда</w:t>
            </w:r>
            <w:proofErr w:type="spellEnd"/>
            <w:r w:rsidRPr="00F449E7">
              <w:rPr>
                <w:color w:val="000000"/>
                <w:sz w:val="22"/>
                <w:szCs w:val="22"/>
              </w:rPr>
              <w:t xml:space="preserve">; дополнительные компоненты: </w:t>
            </w:r>
            <w:proofErr w:type="spellStart"/>
            <w:r w:rsidRPr="00F449E7">
              <w:rPr>
                <w:color w:val="000000"/>
                <w:sz w:val="22"/>
                <w:szCs w:val="22"/>
              </w:rPr>
              <w:t>ман</w:t>
            </w:r>
            <w:r w:rsidR="00D72A9D">
              <w:rPr>
                <w:color w:val="000000"/>
                <w:sz w:val="22"/>
                <w:szCs w:val="22"/>
              </w:rPr>
              <w:softHyphen/>
            </w:r>
            <w:r w:rsidRPr="00F449E7">
              <w:rPr>
                <w:color w:val="000000"/>
                <w:sz w:val="22"/>
                <w:szCs w:val="22"/>
              </w:rPr>
              <w:t>нитол</w:t>
            </w:r>
            <w:proofErr w:type="spellEnd"/>
            <w:r w:rsidRPr="00F449E7">
              <w:rPr>
                <w:color w:val="000000"/>
                <w:sz w:val="22"/>
                <w:szCs w:val="22"/>
              </w:rPr>
              <w:t xml:space="preserve"> 34 мг, </w:t>
            </w:r>
            <w:proofErr w:type="spellStart"/>
            <w:r w:rsidRPr="00F449E7">
              <w:rPr>
                <w:color w:val="000000"/>
                <w:sz w:val="22"/>
                <w:szCs w:val="22"/>
              </w:rPr>
              <w:t>гли</w:t>
            </w:r>
            <w:r w:rsidR="00D72A9D">
              <w:rPr>
                <w:color w:val="000000"/>
                <w:sz w:val="22"/>
                <w:szCs w:val="22"/>
              </w:rPr>
              <w:softHyphen/>
            </w:r>
            <w:r w:rsidRPr="00F449E7">
              <w:rPr>
                <w:color w:val="000000"/>
                <w:sz w:val="22"/>
                <w:szCs w:val="22"/>
              </w:rPr>
              <w:t>церол</w:t>
            </w:r>
            <w:proofErr w:type="spellEnd"/>
            <w:r w:rsidRPr="00F449E7">
              <w:rPr>
                <w:color w:val="000000"/>
                <w:sz w:val="22"/>
                <w:szCs w:val="22"/>
              </w:rPr>
              <w:t xml:space="preserve"> 3 мг, фос</w:t>
            </w:r>
            <w:r w:rsidR="00D72A9D">
              <w:rPr>
                <w:color w:val="000000"/>
                <w:sz w:val="22"/>
                <w:szCs w:val="22"/>
              </w:rPr>
              <w:softHyphen/>
            </w:r>
            <w:r w:rsidRPr="00F449E7">
              <w:rPr>
                <w:color w:val="000000"/>
                <w:sz w:val="22"/>
                <w:szCs w:val="22"/>
              </w:rPr>
              <w:t>фатный буфер. Шприц объёмом 1 мл с комплектом игл 2 * 30G 1/2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4F106B">
            <w:pPr>
              <w:jc w:val="center"/>
              <w:rPr>
                <w:color w:val="000000"/>
                <w:sz w:val="22"/>
                <w:szCs w:val="22"/>
              </w:rPr>
            </w:pPr>
          </w:p>
          <w:p w:rsidR="00413A60" w:rsidRPr="00F449E7" w:rsidRDefault="00413A60" w:rsidP="004F106B">
            <w:pPr>
              <w:jc w:val="center"/>
              <w:rPr>
                <w:color w:val="000000"/>
                <w:sz w:val="22"/>
                <w:szCs w:val="22"/>
              </w:rPr>
            </w:pPr>
          </w:p>
          <w:p w:rsidR="00413A60" w:rsidRPr="00F449E7" w:rsidRDefault="00413A60" w:rsidP="004F106B">
            <w:pPr>
              <w:jc w:val="center"/>
              <w:rPr>
                <w:sz w:val="22"/>
                <w:szCs w:val="22"/>
              </w:rPr>
            </w:pPr>
            <w:proofErr w:type="spellStart"/>
            <w:r w:rsidRPr="00F449E7">
              <w:rPr>
                <w:sz w:val="22"/>
                <w:szCs w:val="22"/>
              </w:rPr>
              <w:t>ш</w:t>
            </w:r>
            <w:r w:rsidR="004F106B">
              <w:rPr>
                <w:sz w:val="22"/>
                <w:szCs w:val="22"/>
              </w:rPr>
              <w:t>т</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2F01C9">
            <w:pPr>
              <w:jc w:val="center"/>
              <w:rPr>
                <w:color w:val="000000"/>
                <w:sz w:val="22"/>
                <w:szCs w:val="22"/>
              </w:rPr>
            </w:pPr>
          </w:p>
          <w:p w:rsidR="00413A60" w:rsidRPr="00F449E7" w:rsidRDefault="00413A60" w:rsidP="002F01C9">
            <w:pPr>
              <w:jc w:val="center"/>
              <w:rPr>
                <w:color w:val="000000"/>
                <w:sz w:val="22"/>
                <w:szCs w:val="22"/>
              </w:rPr>
            </w:pPr>
          </w:p>
          <w:p w:rsidR="00413A60" w:rsidRPr="00F449E7" w:rsidRDefault="00413A60" w:rsidP="002F01C9">
            <w:pPr>
              <w:jc w:val="center"/>
              <w:rPr>
                <w:color w:val="000000"/>
                <w:sz w:val="22"/>
                <w:szCs w:val="22"/>
              </w:rPr>
            </w:pPr>
            <w:r w:rsidRPr="00F449E7">
              <w:rPr>
                <w:color w:val="000000"/>
                <w:sz w:val="22"/>
                <w:szCs w:val="22"/>
              </w:rPr>
              <w:t>40</w:t>
            </w:r>
          </w:p>
        </w:tc>
        <w:tc>
          <w:tcPr>
            <w:tcW w:w="1276" w:type="dxa"/>
            <w:vMerge w:val="restart"/>
            <w:tcBorders>
              <w:top w:val="nil"/>
              <w:left w:val="single" w:sz="4" w:space="0" w:color="auto"/>
              <w:right w:val="single" w:sz="4" w:space="0" w:color="auto"/>
            </w:tcBorders>
          </w:tcPr>
          <w:p w:rsidR="00CA5476" w:rsidRDefault="00CA5476" w:rsidP="002F01C9">
            <w:pPr>
              <w:jc w:val="center"/>
              <w:rPr>
                <w:color w:val="000000"/>
                <w:sz w:val="22"/>
                <w:szCs w:val="22"/>
              </w:rPr>
            </w:pPr>
          </w:p>
          <w:p w:rsidR="00CA5476" w:rsidRDefault="00CA5476" w:rsidP="002F01C9">
            <w:pPr>
              <w:jc w:val="center"/>
              <w:rPr>
                <w:color w:val="000000"/>
                <w:sz w:val="22"/>
                <w:szCs w:val="22"/>
              </w:rPr>
            </w:pPr>
          </w:p>
          <w:p w:rsidR="00413A60" w:rsidRPr="00F449E7" w:rsidRDefault="00CA5476" w:rsidP="005E40F4">
            <w:pPr>
              <w:jc w:val="center"/>
              <w:rPr>
                <w:color w:val="000000"/>
                <w:sz w:val="22"/>
                <w:szCs w:val="22"/>
              </w:rPr>
            </w:pPr>
            <w:r>
              <w:rPr>
                <w:color w:val="000000"/>
                <w:sz w:val="22"/>
                <w:szCs w:val="22"/>
              </w:rPr>
              <w:t>н</w:t>
            </w:r>
            <w:r w:rsidR="00413A60">
              <w:rPr>
                <w:color w:val="000000"/>
                <w:sz w:val="22"/>
                <w:szCs w:val="22"/>
              </w:rPr>
              <w:t xml:space="preserve">е позднее </w:t>
            </w:r>
            <w:r w:rsidR="005E40F4">
              <w:rPr>
                <w:color w:val="000000"/>
                <w:sz w:val="22"/>
                <w:szCs w:val="22"/>
              </w:rPr>
              <w:t>23</w:t>
            </w:r>
            <w:r w:rsidR="00413A60">
              <w:rPr>
                <w:color w:val="000000"/>
                <w:sz w:val="22"/>
                <w:szCs w:val="22"/>
              </w:rPr>
              <w:t xml:space="preserve"> марта</w:t>
            </w:r>
            <w:r>
              <w:rPr>
                <w:color w:val="000000"/>
                <w:sz w:val="22"/>
                <w:szCs w:val="22"/>
              </w:rPr>
              <w:t xml:space="preserve"> 2015</w:t>
            </w:r>
            <w:r w:rsidR="00CF76F5">
              <w:rPr>
                <w:color w:val="000000"/>
                <w:sz w:val="22"/>
                <w:szCs w:val="22"/>
              </w:rPr>
              <w:t xml:space="preserve"> </w:t>
            </w:r>
            <w:r>
              <w:rPr>
                <w:color w:val="000000"/>
                <w:sz w:val="22"/>
                <w:szCs w:val="22"/>
              </w:rPr>
              <w:t>г.</w:t>
            </w:r>
          </w:p>
        </w:tc>
      </w:tr>
      <w:tr w:rsidR="00CA5476" w:rsidRPr="00F449E7" w:rsidTr="00033AC4">
        <w:trPr>
          <w:trHeight w:val="2925"/>
        </w:trPr>
        <w:tc>
          <w:tcPr>
            <w:tcW w:w="426" w:type="dxa"/>
            <w:tcBorders>
              <w:top w:val="nil"/>
              <w:left w:val="single" w:sz="4" w:space="0" w:color="auto"/>
              <w:bottom w:val="single" w:sz="4" w:space="0" w:color="auto"/>
              <w:right w:val="single" w:sz="4" w:space="0" w:color="auto"/>
            </w:tcBorders>
          </w:tcPr>
          <w:p w:rsidR="00413A60" w:rsidRPr="00F449E7" w:rsidRDefault="00413A60" w:rsidP="002F01C9">
            <w:pPr>
              <w:jc w:val="center"/>
              <w:rPr>
                <w:color w:val="000000"/>
                <w:sz w:val="22"/>
                <w:szCs w:val="22"/>
              </w:rPr>
            </w:pPr>
          </w:p>
          <w:p w:rsidR="00413A60" w:rsidRPr="00F449E7" w:rsidRDefault="00413A60" w:rsidP="002F01C9">
            <w:pPr>
              <w:rPr>
                <w:color w:val="000000"/>
                <w:sz w:val="22"/>
                <w:szCs w:val="22"/>
              </w:rPr>
            </w:pPr>
            <w:r w:rsidRPr="00F449E7">
              <w:rPr>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hideMark/>
          </w:tcPr>
          <w:p w:rsidR="00413A60" w:rsidRPr="00F449E7" w:rsidRDefault="00413A60" w:rsidP="002F01C9">
            <w:pPr>
              <w:jc w:val="center"/>
              <w:rPr>
                <w:color w:val="000000"/>
                <w:sz w:val="22"/>
                <w:szCs w:val="22"/>
              </w:rPr>
            </w:pPr>
          </w:p>
          <w:p w:rsidR="00413A60" w:rsidRPr="00F449E7" w:rsidRDefault="00413A60" w:rsidP="00CF76F5">
            <w:pPr>
              <w:jc w:val="center"/>
              <w:rPr>
                <w:color w:val="000000"/>
                <w:sz w:val="22"/>
                <w:szCs w:val="22"/>
              </w:rPr>
            </w:pPr>
            <w:r w:rsidRPr="00F449E7">
              <w:rPr>
                <w:color w:val="000000"/>
                <w:sz w:val="22"/>
                <w:szCs w:val="22"/>
              </w:rPr>
              <w:t xml:space="preserve">Препараты </w:t>
            </w:r>
            <w:r w:rsidR="00CF76F5">
              <w:rPr>
                <w:color w:val="000000"/>
                <w:sz w:val="22"/>
                <w:szCs w:val="22"/>
              </w:rPr>
              <w:t>прочие</w:t>
            </w:r>
          </w:p>
        </w:tc>
        <w:tc>
          <w:tcPr>
            <w:tcW w:w="1701" w:type="dxa"/>
            <w:tcBorders>
              <w:top w:val="nil"/>
              <w:left w:val="nil"/>
              <w:bottom w:val="single" w:sz="4" w:space="0" w:color="auto"/>
              <w:right w:val="single" w:sz="4" w:space="0" w:color="auto"/>
            </w:tcBorders>
            <w:shd w:val="clear" w:color="auto" w:fill="auto"/>
            <w:hideMark/>
          </w:tcPr>
          <w:p w:rsidR="00413A60" w:rsidRPr="00F449E7" w:rsidRDefault="00413A60" w:rsidP="002F01C9">
            <w:pPr>
              <w:jc w:val="center"/>
              <w:rPr>
                <w:color w:val="000000"/>
                <w:sz w:val="22"/>
                <w:szCs w:val="22"/>
              </w:rPr>
            </w:pPr>
          </w:p>
          <w:p w:rsidR="00413A60" w:rsidRPr="00F449E7" w:rsidRDefault="00413A60" w:rsidP="002F01C9">
            <w:pPr>
              <w:jc w:val="center"/>
              <w:rPr>
                <w:color w:val="000000"/>
                <w:sz w:val="22"/>
                <w:szCs w:val="22"/>
              </w:rPr>
            </w:pPr>
            <w:r w:rsidRPr="00F449E7">
              <w:rPr>
                <w:color w:val="000000"/>
                <w:sz w:val="22"/>
                <w:szCs w:val="22"/>
              </w:rPr>
              <w:t>Производство прочих фарма</w:t>
            </w:r>
            <w:r w:rsidR="00D72A9D">
              <w:rPr>
                <w:color w:val="000000"/>
                <w:sz w:val="22"/>
                <w:szCs w:val="22"/>
              </w:rPr>
              <w:softHyphen/>
            </w:r>
            <w:r w:rsidRPr="00F449E7">
              <w:rPr>
                <w:color w:val="000000"/>
                <w:sz w:val="22"/>
                <w:szCs w:val="22"/>
              </w:rPr>
              <w:t>цевтических продуктов и изделий меди</w:t>
            </w:r>
            <w:r w:rsidR="00D72A9D">
              <w:rPr>
                <w:color w:val="000000"/>
                <w:sz w:val="22"/>
                <w:szCs w:val="22"/>
              </w:rPr>
              <w:softHyphen/>
            </w:r>
            <w:r w:rsidRPr="00F449E7">
              <w:rPr>
                <w:color w:val="000000"/>
                <w:sz w:val="22"/>
                <w:szCs w:val="22"/>
              </w:rPr>
              <w:t>цинского назначения</w:t>
            </w:r>
          </w:p>
        </w:tc>
        <w:tc>
          <w:tcPr>
            <w:tcW w:w="1276" w:type="dxa"/>
            <w:vMerge/>
            <w:tcBorders>
              <w:top w:val="nil"/>
              <w:left w:val="single" w:sz="4" w:space="0" w:color="auto"/>
              <w:bottom w:val="single" w:sz="4" w:space="0" w:color="000000"/>
              <w:right w:val="single" w:sz="4" w:space="0" w:color="auto"/>
            </w:tcBorders>
            <w:vAlign w:val="center"/>
            <w:hideMark/>
          </w:tcPr>
          <w:p w:rsidR="00413A60" w:rsidRPr="00F449E7" w:rsidRDefault="00413A60" w:rsidP="002F01C9">
            <w:pPr>
              <w:jc w:val="left"/>
              <w:rPr>
                <w:color w:val="000000"/>
                <w:sz w:val="22"/>
                <w:szCs w:val="22"/>
              </w:rPr>
            </w:pPr>
          </w:p>
        </w:tc>
        <w:tc>
          <w:tcPr>
            <w:tcW w:w="1984" w:type="dxa"/>
            <w:vMerge/>
            <w:tcBorders>
              <w:top w:val="nil"/>
              <w:left w:val="single" w:sz="4" w:space="0" w:color="auto"/>
              <w:bottom w:val="single" w:sz="4" w:space="0" w:color="000000"/>
              <w:right w:val="single" w:sz="4" w:space="0" w:color="auto"/>
            </w:tcBorders>
            <w:vAlign w:val="center"/>
            <w:hideMark/>
          </w:tcPr>
          <w:p w:rsidR="00413A60" w:rsidRPr="00F449E7" w:rsidRDefault="00413A60" w:rsidP="002F01C9">
            <w:pPr>
              <w:jc w:val="left"/>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413A60" w:rsidRPr="00F449E7" w:rsidRDefault="00413A60" w:rsidP="004F106B">
            <w:pPr>
              <w:jc w:val="center"/>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413A60" w:rsidRPr="00F449E7" w:rsidRDefault="00413A60" w:rsidP="002F01C9">
            <w:pPr>
              <w:jc w:val="left"/>
              <w:rPr>
                <w:color w:val="000000"/>
                <w:sz w:val="22"/>
                <w:szCs w:val="22"/>
              </w:rPr>
            </w:pPr>
          </w:p>
        </w:tc>
        <w:tc>
          <w:tcPr>
            <w:tcW w:w="1276" w:type="dxa"/>
            <w:vMerge/>
            <w:tcBorders>
              <w:left w:val="single" w:sz="4" w:space="0" w:color="auto"/>
              <w:bottom w:val="single" w:sz="4" w:space="0" w:color="000000"/>
              <w:right w:val="single" w:sz="4" w:space="0" w:color="auto"/>
            </w:tcBorders>
          </w:tcPr>
          <w:p w:rsidR="00413A60" w:rsidRPr="00F449E7" w:rsidRDefault="00413A60" w:rsidP="002F01C9">
            <w:pPr>
              <w:jc w:val="left"/>
              <w:rPr>
                <w:color w:val="000000"/>
                <w:sz w:val="22"/>
                <w:szCs w:val="22"/>
              </w:rPr>
            </w:pPr>
          </w:p>
        </w:tc>
      </w:tr>
      <w:tr w:rsidR="00413A60" w:rsidRPr="00F449E7" w:rsidTr="00033AC4">
        <w:trPr>
          <w:trHeight w:val="5658"/>
        </w:trPr>
        <w:tc>
          <w:tcPr>
            <w:tcW w:w="426" w:type="dxa"/>
            <w:tcBorders>
              <w:top w:val="nil"/>
              <w:left w:val="single" w:sz="4" w:space="0" w:color="auto"/>
              <w:bottom w:val="single" w:sz="4" w:space="0" w:color="auto"/>
              <w:right w:val="single" w:sz="4" w:space="0" w:color="auto"/>
            </w:tcBorders>
          </w:tcPr>
          <w:p w:rsidR="00413A60" w:rsidRDefault="00413A60" w:rsidP="00823E97">
            <w:pPr>
              <w:rPr>
                <w:color w:val="000000"/>
                <w:sz w:val="22"/>
                <w:szCs w:val="22"/>
              </w:rPr>
            </w:pPr>
          </w:p>
          <w:p w:rsidR="00413A60" w:rsidRPr="00F449E7" w:rsidRDefault="00413A60" w:rsidP="00823E97">
            <w:pPr>
              <w:rPr>
                <w:b/>
                <w:color w:val="000000"/>
                <w:sz w:val="22"/>
                <w:szCs w:val="22"/>
              </w:rPr>
            </w:pPr>
            <w:r>
              <w:rPr>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tcPr>
          <w:p w:rsidR="00413A60" w:rsidRPr="00F449E7" w:rsidRDefault="00413A60" w:rsidP="00397BD8">
            <w:pPr>
              <w:jc w:val="center"/>
              <w:rPr>
                <w:color w:val="000000"/>
                <w:sz w:val="22"/>
                <w:szCs w:val="22"/>
              </w:rPr>
            </w:pPr>
          </w:p>
          <w:p w:rsidR="00413A60" w:rsidRPr="00F449E7" w:rsidRDefault="004F106B" w:rsidP="00397BD8">
            <w:pPr>
              <w:jc w:val="center"/>
              <w:rPr>
                <w:b/>
                <w:bCs/>
                <w:color w:val="000000"/>
                <w:sz w:val="22"/>
                <w:szCs w:val="22"/>
              </w:rPr>
            </w:pPr>
            <w:r w:rsidRPr="00F449E7">
              <w:rPr>
                <w:color w:val="000000"/>
                <w:sz w:val="22"/>
                <w:szCs w:val="22"/>
              </w:rPr>
              <w:t xml:space="preserve">Препараты </w:t>
            </w:r>
            <w:r>
              <w:rPr>
                <w:color w:val="000000"/>
                <w:sz w:val="22"/>
                <w:szCs w:val="22"/>
              </w:rPr>
              <w:t>прочие</w:t>
            </w:r>
          </w:p>
        </w:tc>
        <w:tc>
          <w:tcPr>
            <w:tcW w:w="1701" w:type="dxa"/>
            <w:tcBorders>
              <w:top w:val="nil"/>
              <w:left w:val="nil"/>
              <w:bottom w:val="single" w:sz="4" w:space="0" w:color="auto"/>
              <w:right w:val="single" w:sz="4" w:space="0" w:color="auto"/>
            </w:tcBorders>
            <w:shd w:val="clear" w:color="auto" w:fill="auto"/>
          </w:tcPr>
          <w:p w:rsidR="00413A60" w:rsidRPr="00F449E7" w:rsidRDefault="00413A60" w:rsidP="00823E97">
            <w:pPr>
              <w:jc w:val="center"/>
              <w:rPr>
                <w:color w:val="000000"/>
                <w:sz w:val="22"/>
                <w:szCs w:val="22"/>
              </w:rPr>
            </w:pPr>
          </w:p>
          <w:p w:rsidR="00413A60" w:rsidRPr="00F449E7" w:rsidRDefault="00413A60" w:rsidP="00823E97">
            <w:pPr>
              <w:jc w:val="center"/>
              <w:rPr>
                <w:b/>
                <w:bCs/>
                <w:color w:val="000000"/>
                <w:sz w:val="22"/>
                <w:szCs w:val="22"/>
              </w:rPr>
            </w:pPr>
            <w:r w:rsidRPr="00F449E7">
              <w:rPr>
                <w:color w:val="000000"/>
                <w:sz w:val="22"/>
                <w:szCs w:val="22"/>
              </w:rPr>
              <w:t>Производство прочих фарма</w:t>
            </w:r>
            <w:r w:rsidR="00D72A9D">
              <w:rPr>
                <w:color w:val="000000"/>
                <w:sz w:val="22"/>
                <w:szCs w:val="22"/>
              </w:rPr>
              <w:softHyphen/>
            </w:r>
            <w:r w:rsidRPr="00F449E7">
              <w:rPr>
                <w:color w:val="000000"/>
                <w:sz w:val="22"/>
                <w:szCs w:val="22"/>
              </w:rPr>
              <w:t>цевтических продуктов и изделий меди</w:t>
            </w:r>
            <w:r w:rsidR="00D72A9D">
              <w:rPr>
                <w:color w:val="000000"/>
                <w:sz w:val="22"/>
                <w:szCs w:val="22"/>
              </w:rPr>
              <w:softHyphen/>
            </w:r>
            <w:r w:rsidRPr="00F449E7">
              <w:rPr>
                <w:color w:val="000000"/>
                <w:sz w:val="22"/>
                <w:szCs w:val="22"/>
              </w:rPr>
              <w:t>цинского назначения</w:t>
            </w:r>
          </w:p>
        </w:tc>
        <w:tc>
          <w:tcPr>
            <w:tcW w:w="1276" w:type="dxa"/>
            <w:tcBorders>
              <w:top w:val="nil"/>
              <w:left w:val="single" w:sz="4" w:space="0" w:color="auto"/>
              <w:bottom w:val="single" w:sz="4" w:space="0" w:color="auto"/>
              <w:right w:val="single" w:sz="4" w:space="0" w:color="auto"/>
            </w:tcBorders>
            <w:shd w:val="clear" w:color="auto" w:fill="auto"/>
            <w:hideMark/>
          </w:tcPr>
          <w:p w:rsidR="00413A60" w:rsidRPr="00F449E7" w:rsidRDefault="00413A60" w:rsidP="005A3AAF">
            <w:pPr>
              <w:jc w:val="center"/>
              <w:rPr>
                <w:sz w:val="22"/>
                <w:szCs w:val="22"/>
              </w:rPr>
            </w:pPr>
          </w:p>
          <w:p w:rsidR="00413A60" w:rsidRPr="00F449E7" w:rsidRDefault="00413A60" w:rsidP="005A3AAF">
            <w:pPr>
              <w:jc w:val="center"/>
              <w:rPr>
                <w:sz w:val="22"/>
                <w:szCs w:val="22"/>
              </w:rPr>
            </w:pPr>
            <w:proofErr w:type="spellStart"/>
            <w:r w:rsidRPr="00F449E7">
              <w:rPr>
                <w:sz w:val="22"/>
                <w:szCs w:val="22"/>
              </w:rPr>
              <w:t>Гиалуро</w:t>
            </w:r>
            <w:r w:rsidR="00D72A9D">
              <w:rPr>
                <w:sz w:val="22"/>
                <w:szCs w:val="22"/>
              </w:rPr>
              <w:softHyphen/>
            </w:r>
            <w:r w:rsidRPr="00F449E7">
              <w:rPr>
                <w:sz w:val="22"/>
                <w:szCs w:val="22"/>
              </w:rPr>
              <w:t>новая</w:t>
            </w:r>
            <w:proofErr w:type="spellEnd"/>
            <w:r w:rsidRPr="00F449E7">
              <w:rPr>
                <w:sz w:val="22"/>
                <w:szCs w:val="22"/>
              </w:rPr>
              <w:t xml:space="preserve"> кислота</w:t>
            </w:r>
          </w:p>
        </w:tc>
        <w:tc>
          <w:tcPr>
            <w:tcW w:w="1984" w:type="dxa"/>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5A3AAF">
            <w:pPr>
              <w:jc w:val="center"/>
              <w:rPr>
                <w:color w:val="000000"/>
                <w:sz w:val="22"/>
                <w:szCs w:val="22"/>
              </w:rPr>
            </w:pPr>
          </w:p>
          <w:p w:rsidR="00413A60" w:rsidRPr="00F449E7" w:rsidRDefault="00413A60" w:rsidP="005A3AAF">
            <w:pPr>
              <w:jc w:val="center"/>
              <w:rPr>
                <w:color w:val="000000"/>
                <w:sz w:val="22"/>
                <w:szCs w:val="22"/>
              </w:rPr>
            </w:pPr>
            <w:r w:rsidRPr="00F449E7">
              <w:rPr>
                <w:color w:val="000000"/>
                <w:sz w:val="22"/>
                <w:szCs w:val="22"/>
              </w:rPr>
              <w:t>Изделие медицин</w:t>
            </w:r>
            <w:r w:rsidR="00D72A9D">
              <w:rPr>
                <w:color w:val="000000"/>
                <w:sz w:val="22"/>
                <w:szCs w:val="22"/>
              </w:rPr>
              <w:softHyphen/>
            </w:r>
            <w:r w:rsidRPr="00F449E7">
              <w:rPr>
                <w:color w:val="000000"/>
                <w:sz w:val="22"/>
                <w:szCs w:val="22"/>
              </w:rPr>
              <w:t>ского назначения - материал-гель для внутрикожной имплантации, ос</w:t>
            </w:r>
            <w:r w:rsidR="00D72A9D">
              <w:rPr>
                <w:color w:val="000000"/>
                <w:sz w:val="22"/>
                <w:szCs w:val="22"/>
              </w:rPr>
              <w:softHyphen/>
            </w:r>
            <w:r w:rsidRPr="00F449E7">
              <w:rPr>
                <w:color w:val="000000"/>
                <w:sz w:val="22"/>
                <w:szCs w:val="22"/>
              </w:rPr>
              <w:t>новной компо</w:t>
            </w:r>
            <w:r w:rsidR="00D72A9D">
              <w:rPr>
                <w:color w:val="000000"/>
                <w:sz w:val="22"/>
                <w:szCs w:val="22"/>
              </w:rPr>
              <w:softHyphen/>
            </w:r>
            <w:r w:rsidRPr="00F449E7">
              <w:rPr>
                <w:color w:val="000000"/>
                <w:sz w:val="22"/>
                <w:szCs w:val="22"/>
              </w:rPr>
              <w:t>нент: высокомо</w:t>
            </w:r>
            <w:r w:rsidR="00D72A9D">
              <w:rPr>
                <w:color w:val="000000"/>
                <w:sz w:val="22"/>
                <w:szCs w:val="22"/>
              </w:rPr>
              <w:softHyphen/>
            </w:r>
            <w:r w:rsidRPr="00F449E7">
              <w:rPr>
                <w:color w:val="000000"/>
                <w:sz w:val="22"/>
                <w:szCs w:val="22"/>
              </w:rPr>
              <w:t xml:space="preserve">лекулярная </w:t>
            </w:r>
            <w:proofErr w:type="spellStart"/>
            <w:r w:rsidRPr="00F449E7">
              <w:rPr>
                <w:color w:val="000000"/>
                <w:sz w:val="22"/>
                <w:szCs w:val="22"/>
              </w:rPr>
              <w:t>натив</w:t>
            </w:r>
            <w:r w:rsidR="00D72A9D">
              <w:rPr>
                <w:color w:val="000000"/>
                <w:sz w:val="22"/>
                <w:szCs w:val="22"/>
              </w:rPr>
              <w:softHyphen/>
            </w:r>
            <w:r w:rsidRPr="00F449E7">
              <w:rPr>
                <w:color w:val="000000"/>
                <w:sz w:val="22"/>
                <w:szCs w:val="22"/>
              </w:rPr>
              <w:t>ная</w:t>
            </w:r>
            <w:proofErr w:type="spellEnd"/>
            <w:r w:rsidRPr="00F449E7">
              <w:rPr>
                <w:color w:val="000000"/>
                <w:sz w:val="22"/>
                <w:szCs w:val="22"/>
              </w:rPr>
              <w:t xml:space="preserve"> </w:t>
            </w:r>
            <w:proofErr w:type="spellStart"/>
            <w:r w:rsidRPr="00F449E7">
              <w:rPr>
                <w:color w:val="000000"/>
                <w:sz w:val="22"/>
                <w:szCs w:val="22"/>
              </w:rPr>
              <w:t>гиалуроновая</w:t>
            </w:r>
            <w:proofErr w:type="spellEnd"/>
            <w:r w:rsidRPr="00F449E7">
              <w:rPr>
                <w:color w:val="000000"/>
                <w:sz w:val="22"/>
                <w:szCs w:val="22"/>
              </w:rPr>
              <w:t xml:space="preserve"> кислота с концен</w:t>
            </w:r>
            <w:r w:rsidR="00D72A9D">
              <w:rPr>
                <w:color w:val="000000"/>
                <w:sz w:val="22"/>
                <w:szCs w:val="22"/>
              </w:rPr>
              <w:softHyphen/>
            </w:r>
            <w:r w:rsidRPr="00F449E7">
              <w:rPr>
                <w:color w:val="000000"/>
                <w:sz w:val="22"/>
                <w:szCs w:val="22"/>
              </w:rPr>
              <w:t xml:space="preserve">трацией 14 мг/мл, молекулярной массой 3,8 </w:t>
            </w:r>
            <w:proofErr w:type="spellStart"/>
            <w:r w:rsidRPr="00F449E7">
              <w:rPr>
                <w:color w:val="000000"/>
                <w:sz w:val="22"/>
                <w:szCs w:val="22"/>
              </w:rPr>
              <w:t>Мда</w:t>
            </w:r>
            <w:proofErr w:type="spellEnd"/>
            <w:r w:rsidRPr="00F449E7">
              <w:rPr>
                <w:color w:val="000000"/>
                <w:sz w:val="22"/>
                <w:szCs w:val="22"/>
              </w:rPr>
              <w:t xml:space="preserve">; дополнительные компоненты: </w:t>
            </w:r>
            <w:proofErr w:type="spellStart"/>
            <w:r w:rsidRPr="00F449E7">
              <w:rPr>
                <w:color w:val="000000"/>
                <w:sz w:val="22"/>
                <w:szCs w:val="22"/>
              </w:rPr>
              <w:t>ман</w:t>
            </w:r>
            <w:r w:rsidR="00D72A9D">
              <w:rPr>
                <w:color w:val="000000"/>
                <w:sz w:val="22"/>
                <w:szCs w:val="22"/>
              </w:rPr>
              <w:softHyphen/>
            </w:r>
            <w:r w:rsidRPr="00F449E7">
              <w:rPr>
                <w:color w:val="000000"/>
                <w:sz w:val="22"/>
                <w:szCs w:val="22"/>
              </w:rPr>
              <w:t>нитол</w:t>
            </w:r>
            <w:proofErr w:type="spellEnd"/>
            <w:r w:rsidRPr="00F449E7">
              <w:rPr>
                <w:color w:val="000000"/>
                <w:sz w:val="22"/>
                <w:szCs w:val="22"/>
              </w:rPr>
              <w:t xml:space="preserve"> 34 мг, </w:t>
            </w:r>
            <w:proofErr w:type="spellStart"/>
            <w:r w:rsidRPr="00F449E7">
              <w:rPr>
                <w:color w:val="000000"/>
                <w:sz w:val="22"/>
                <w:szCs w:val="22"/>
              </w:rPr>
              <w:t>гли</w:t>
            </w:r>
            <w:r w:rsidR="00D72A9D">
              <w:rPr>
                <w:color w:val="000000"/>
                <w:sz w:val="22"/>
                <w:szCs w:val="22"/>
              </w:rPr>
              <w:softHyphen/>
            </w:r>
            <w:r w:rsidRPr="00F449E7">
              <w:rPr>
                <w:color w:val="000000"/>
                <w:sz w:val="22"/>
                <w:szCs w:val="22"/>
              </w:rPr>
              <w:t>церол</w:t>
            </w:r>
            <w:proofErr w:type="spellEnd"/>
            <w:r w:rsidRPr="00F449E7">
              <w:rPr>
                <w:color w:val="000000"/>
                <w:sz w:val="22"/>
                <w:szCs w:val="22"/>
              </w:rPr>
              <w:t xml:space="preserve"> 3 мг, фос</w:t>
            </w:r>
            <w:r w:rsidR="00D72A9D">
              <w:rPr>
                <w:color w:val="000000"/>
                <w:sz w:val="22"/>
                <w:szCs w:val="22"/>
              </w:rPr>
              <w:softHyphen/>
            </w:r>
            <w:r w:rsidRPr="00F449E7">
              <w:rPr>
                <w:color w:val="000000"/>
                <w:sz w:val="22"/>
                <w:szCs w:val="22"/>
              </w:rPr>
              <w:t>фатный буфер. Шприц объёмом 1 мл с комплектом игл 2 * 30G 1/2</w:t>
            </w:r>
          </w:p>
        </w:tc>
        <w:tc>
          <w:tcPr>
            <w:tcW w:w="851" w:type="dxa"/>
            <w:tcBorders>
              <w:top w:val="nil"/>
              <w:left w:val="single" w:sz="4" w:space="0" w:color="auto"/>
              <w:bottom w:val="single" w:sz="4" w:space="0" w:color="000000"/>
              <w:right w:val="single" w:sz="4" w:space="0" w:color="auto"/>
            </w:tcBorders>
            <w:shd w:val="clear" w:color="auto" w:fill="auto"/>
            <w:hideMark/>
          </w:tcPr>
          <w:p w:rsidR="00413A60" w:rsidRPr="00F449E7" w:rsidRDefault="00413A60" w:rsidP="004F106B">
            <w:pPr>
              <w:jc w:val="center"/>
              <w:rPr>
                <w:color w:val="000000"/>
                <w:sz w:val="22"/>
                <w:szCs w:val="22"/>
              </w:rPr>
            </w:pPr>
          </w:p>
          <w:p w:rsidR="00413A60" w:rsidRPr="00F449E7" w:rsidRDefault="00413A60" w:rsidP="004F106B">
            <w:pPr>
              <w:jc w:val="center"/>
              <w:rPr>
                <w:sz w:val="22"/>
                <w:szCs w:val="22"/>
              </w:rPr>
            </w:pPr>
            <w:proofErr w:type="spellStart"/>
            <w:r w:rsidRPr="00F449E7">
              <w:rPr>
                <w:sz w:val="22"/>
                <w:szCs w:val="22"/>
              </w:rPr>
              <w:t>ш</w:t>
            </w:r>
            <w:r w:rsidR="004F106B">
              <w:rPr>
                <w:sz w:val="22"/>
                <w:szCs w:val="22"/>
              </w:rPr>
              <w:t>т</w:t>
            </w:r>
            <w:proofErr w:type="spellEnd"/>
          </w:p>
        </w:tc>
        <w:tc>
          <w:tcPr>
            <w:tcW w:w="708" w:type="dxa"/>
            <w:tcBorders>
              <w:top w:val="single" w:sz="4" w:space="0" w:color="000000"/>
              <w:left w:val="single" w:sz="4" w:space="0" w:color="auto"/>
              <w:bottom w:val="single" w:sz="4" w:space="0" w:color="auto"/>
              <w:right w:val="single" w:sz="4" w:space="0" w:color="auto"/>
            </w:tcBorders>
            <w:shd w:val="clear" w:color="auto" w:fill="auto"/>
            <w:hideMark/>
          </w:tcPr>
          <w:p w:rsidR="00413A60" w:rsidRPr="00F449E7" w:rsidRDefault="00413A60" w:rsidP="005A3AAF">
            <w:pPr>
              <w:jc w:val="center"/>
              <w:rPr>
                <w:color w:val="000000"/>
                <w:sz w:val="22"/>
                <w:szCs w:val="22"/>
              </w:rPr>
            </w:pPr>
          </w:p>
          <w:p w:rsidR="00413A60" w:rsidRPr="00F449E7" w:rsidRDefault="00413A60" w:rsidP="005A3AAF">
            <w:pPr>
              <w:jc w:val="center"/>
              <w:rPr>
                <w:color w:val="000000"/>
                <w:sz w:val="22"/>
                <w:szCs w:val="22"/>
              </w:rPr>
            </w:pPr>
            <w:r w:rsidRPr="00F449E7">
              <w:rPr>
                <w:color w:val="000000"/>
                <w:sz w:val="22"/>
                <w:szCs w:val="22"/>
              </w:rPr>
              <w:t>40</w:t>
            </w:r>
          </w:p>
        </w:tc>
        <w:tc>
          <w:tcPr>
            <w:tcW w:w="1276" w:type="dxa"/>
            <w:tcBorders>
              <w:top w:val="single" w:sz="4" w:space="0" w:color="000000"/>
              <w:left w:val="single" w:sz="4" w:space="0" w:color="auto"/>
              <w:bottom w:val="single" w:sz="4" w:space="0" w:color="auto"/>
              <w:right w:val="single" w:sz="4" w:space="0" w:color="auto"/>
            </w:tcBorders>
          </w:tcPr>
          <w:p w:rsidR="00413A60" w:rsidRDefault="00413A60" w:rsidP="005A3AAF">
            <w:pPr>
              <w:jc w:val="center"/>
              <w:rPr>
                <w:color w:val="000000"/>
                <w:sz w:val="22"/>
                <w:szCs w:val="22"/>
              </w:rPr>
            </w:pPr>
          </w:p>
          <w:p w:rsidR="00CA5476" w:rsidRPr="00F449E7" w:rsidRDefault="00CA5476" w:rsidP="005E40F4">
            <w:pPr>
              <w:jc w:val="center"/>
              <w:rPr>
                <w:color w:val="000000"/>
                <w:sz w:val="22"/>
                <w:szCs w:val="22"/>
              </w:rPr>
            </w:pPr>
            <w:r>
              <w:rPr>
                <w:color w:val="000000"/>
                <w:sz w:val="22"/>
                <w:szCs w:val="22"/>
              </w:rPr>
              <w:t xml:space="preserve">не позднее </w:t>
            </w:r>
            <w:r w:rsidR="005E40F4">
              <w:rPr>
                <w:color w:val="000000"/>
                <w:sz w:val="22"/>
                <w:szCs w:val="22"/>
              </w:rPr>
              <w:t>30</w:t>
            </w:r>
            <w:r>
              <w:rPr>
                <w:color w:val="000000"/>
                <w:sz w:val="22"/>
                <w:szCs w:val="22"/>
              </w:rPr>
              <w:t xml:space="preserve"> апреля 2015</w:t>
            </w:r>
            <w:r w:rsidR="00CF76F5">
              <w:rPr>
                <w:color w:val="000000"/>
                <w:sz w:val="22"/>
                <w:szCs w:val="22"/>
              </w:rPr>
              <w:t xml:space="preserve"> </w:t>
            </w:r>
            <w:r>
              <w:rPr>
                <w:color w:val="000000"/>
                <w:sz w:val="22"/>
                <w:szCs w:val="22"/>
              </w:rPr>
              <w:t>г.</w:t>
            </w:r>
          </w:p>
        </w:tc>
      </w:tr>
    </w:tbl>
    <w:p w:rsidR="005A3AAF" w:rsidRPr="00F24E15" w:rsidRDefault="005A3AAF" w:rsidP="00D15F15">
      <w:pPr>
        <w:jc w:val="cente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CE257C">
      <w:pPr>
        <w:pStyle w:val="31"/>
      </w:pPr>
      <w:bookmarkStart w:id="19" w:name="_Toc388265451"/>
      <w:r w:rsidRPr="00C45D84">
        <w:t>Срок, место и порядок предоставления документации</w:t>
      </w:r>
      <w:bookmarkEnd w:id="19"/>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20" w:name="_Toc388265452"/>
      <w:r w:rsidRPr="00C45D84">
        <w:t>Место и дата рассмотрения предложений участников закупки и подведения итогов закупки</w:t>
      </w:r>
      <w:bookmarkEnd w:id="20"/>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FD374D">
        <w:rPr>
          <w:b/>
          <w:color w:val="0000FF"/>
        </w:rPr>
        <w:t>5 марта</w:t>
      </w:r>
      <w:r w:rsidRPr="00C45D84">
        <w:rPr>
          <w:b/>
          <w:iCs/>
          <w:color w:val="0000FF"/>
        </w:rPr>
        <w:t xml:space="preserve"> 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FD374D">
        <w:rPr>
          <w:b/>
          <w:color w:val="0000FF"/>
        </w:rPr>
        <w:t>0</w:t>
      </w:r>
      <w:r w:rsidR="005A3AAF">
        <w:rPr>
          <w:b/>
          <w:color w:val="0000FF"/>
        </w:rPr>
        <w:t>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1" w:name="_Toc388265453"/>
      <w:r w:rsidRPr="00C45D84">
        <w:t>Преимущества, предоставляемые при участии в закупке</w:t>
      </w:r>
      <w:bookmarkEnd w:id="21"/>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22" w:name="_Toc388265454"/>
      <w:r w:rsidRPr="00C45D84">
        <w:t>Дата начала приема заявок на участие в закупке</w:t>
      </w:r>
      <w:bookmarkEnd w:id="22"/>
    </w:p>
    <w:p w:rsidR="00C357FB" w:rsidRDefault="00FD374D" w:rsidP="002F01C9">
      <w:pPr>
        <w:ind w:firstLine="708"/>
        <w:rPr>
          <w:b/>
          <w:color w:val="0000FF"/>
        </w:rPr>
      </w:pPr>
      <w:r>
        <w:rPr>
          <w:b/>
          <w:color w:val="0000FF"/>
        </w:rPr>
        <w:t>26 февраля</w:t>
      </w:r>
      <w:r w:rsidR="002D61A3">
        <w:rPr>
          <w:b/>
          <w:color w:val="0000FF"/>
        </w:rPr>
        <w:t xml:space="preserve"> </w:t>
      </w:r>
      <w:r>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3" w:name="_Toc388265455"/>
      <w:r w:rsidRPr="00265B34">
        <w:t>Дата и время окончания срока подачи заявок на участие в закупке</w:t>
      </w:r>
      <w:bookmarkEnd w:id="23"/>
    </w:p>
    <w:p w:rsidR="00166DA8" w:rsidRDefault="00FD374D" w:rsidP="002F01C9">
      <w:pPr>
        <w:ind w:firstLine="708"/>
        <w:rPr>
          <w:b/>
          <w:color w:val="0000FF"/>
        </w:rPr>
      </w:pPr>
      <w:r>
        <w:rPr>
          <w:b/>
          <w:color w:val="0000FF"/>
        </w:rPr>
        <w:t>4 марта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4" w:name="_Toc388265456"/>
      <w:r>
        <w:t>Внесение изменений в извещение о проведении запроса котиров</w:t>
      </w:r>
      <w:r w:rsidR="00E55E8D">
        <w:t>ок</w:t>
      </w:r>
      <w:bookmarkEnd w:id="24"/>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88265457"/>
      <w:bookmarkStart w:id="26" w:name="_Toc119343901"/>
      <w:bookmarkStart w:id="27" w:name="_Toc123405452"/>
      <w:r w:rsidR="00B55ACC" w:rsidRPr="00D82AC3">
        <w:lastRenderedPageBreak/>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 xml:space="preserve">2) </w:t>
      </w:r>
      <w:proofErr w:type="spellStart"/>
      <w:r w:rsidRPr="00B55ACC">
        <w:t>непроведение</w:t>
      </w:r>
      <w:proofErr w:type="spellEnd"/>
      <w:r w:rsidRPr="00B55A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w:t>
      </w:r>
      <w:proofErr w:type="spellStart"/>
      <w:r w:rsidRPr="00B55ACC">
        <w:t>неприостановление</w:t>
      </w:r>
      <w:proofErr w:type="spellEnd"/>
      <w:r w:rsidRPr="00B55AC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388265458"/>
      <w:bookmarkStart w:id="29" w:name="_Ref11225299"/>
      <w:bookmarkEnd w:id="26"/>
      <w:bookmarkEnd w:id="27"/>
      <w:r w:rsidR="00B55ACC">
        <w:lastRenderedPageBreak/>
        <w:t>Подача</w:t>
      </w:r>
      <w:r w:rsidR="00B55ACC" w:rsidRPr="00D82AC3">
        <w:t xml:space="preserve"> заявки на участие в </w:t>
      </w:r>
      <w:r w:rsidR="00B55ACC">
        <w:t>закупке</w:t>
      </w:r>
      <w:bookmarkEnd w:id="28"/>
    </w:p>
    <w:p w:rsidR="00D16966" w:rsidRPr="001B61C0" w:rsidRDefault="00D16966" w:rsidP="00CE257C">
      <w:pPr>
        <w:pStyle w:val="31"/>
      </w:pPr>
      <w:bookmarkStart w:id="30" w:name="_Toc388265459"/>
      <w:r w:rsidRPr="001B61C0">
        <w:t>Порядок подачи котировочных заявок</w:t>
      </w:r>
      <w:bookmarkEnd w:id="30"/>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1"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2"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00B55ACC" w:rsidRPr="00A02BEA">
        <w:lastRenderedPageBreak/>
        <w:t>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33"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CF2135">
        <w:rPr>
          <w:b/>
          <w:iCs/>
          <w:color w:val="0000FF"/>
        </w:rPr>
        <w:t>26 февраля 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CF2135">
        <w:rPr>
          <w:b/>
          <w:iCs/>
          <w:color w:val="0000FF"/>
        </w:rPr>
        <w:t>4 марта 2015</w:t>
      </w:r>
      <w:r w:rsidRPr="00FD11FA">
        <w:rPr>
          <w:b/>
          <w:iCs/>
          <w:color w:val="0000FF"/>
        </w:rPr>
        <w:t xml:space="preserve"> года до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34" w:name="_Toc388265463"/>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35"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388265465"/>
      <w:r w:rsidR="005A52D4">
        <w:lastRenderedPageBreak/>
        <w:t xml:space="preserve">Определение победителя </w:t>
      </w:r>
      <w:r w:rsidR="005C6FF1">
        <w:t>закупки</w:t>
      </w:r>
      <w:bookmarkEnd w:id="36"/>
      <w:r w:rsidR="005C6FF1">
        <w:t xml:space="preserve"> </w:t>
      </w:r>
    </w:p>
    <w:p w:rsidR="00FD11FA" w:rsidRPr="005A6560" w:rsidRDefault="00FD11FA" w:rsidP="00CE257C">
      <w:pPr>
        <w:pStyle w:val="31"/>
      </w:pPr>
      <w:bookmarkStart w:id="37" w:name="_Toc388265466"/>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3D6FE3">
        <w:rPr>
          <w:b/>
          <w:color w:val="0000FF"/>
        </w:rPr>
        <w:t>5 марта 2015</w:t>
      </w:r>
      <w:r w:rsidRPr="00A03AF0">
        <w:rPr>
          <w:b/>
          <w:iCs/>
          <w:color w:val="0000FF"/>
        </w:rPr>
        <w:t xml:space="preserve"> года</w:t>
      </w:r>
      <w:r w:rsidRPr="00A03AF0">
        <w:rPr>
          <w:b/>
          <w:color w:val="0000FF"/>
        </w:rPr>
        <w:t xml:space="preserve"> в </w:t>
      </w:r>
      <w:r w:rsidR="003D6FE3">
        <w:rPr>
          <w:b/>
          <w:color w:val="0000FF"/>
        </w:rPr>
        <w:t>10</w:t>
      </w:r>
      <w:r w:rsidR="003B65C2">
        <w:rPr>
          <w:b/>
          <w:color w:val="0000FF"/>
        </w:rPr>
        <w:t>:</w:t>
      </w:r>
      <w:r w:rsidR="003D6FE3">
        <w:rPr>
          <w:b/>
          <w:color w:val="0000FF"/>
        </w:rPr>
        <w:t>0</w:t>
      </w:r>
      <w:r w:rsidR="003B65C2">
        <w:rPr>
          <w:b/>
          <w:color w:val="0000FF"/>
        </w:rPr>
        <w:t>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38" w:name="_Toc388265467"/>
      <w:r w:rsidRPr="005A6560">
        <w:t xml:space="preserve">Порядок рассмотрения заявок на участие в </w:t>
      </w:r>
      <w:r w:rsidR="005C6FF1">
        <w:t>запросе котировок</w:t>
      </w:r>
      <w:bookmarkEnd w:id="38"/>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39" w:name="_Toc388265468"/>
      <w:r w:rsidRPr="00D82AC3">
        <w:t>Место и дата подведения итогов</w:t>
      </w:r>
      <w:bookmarkEnd w:id="39"/>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CE257C">
      <w:pPr>
        <w:pStyle w:val="31"/>
      </w:pPr>
      <w:bookmarkStart w:id="40" w:name="_Toc388265469"/>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1" w:name="_Toc388265470"/>
      <w:r>
        <w:t xml:space="preserve">Результат </w:t>
      </w:r>
      <w:r w:rsidRPr="005A6560">
        <w:t>оценки и сопоставления заявок на участие в закупке</w:t>
      </w:r>
      <w:bookmarkEnd w:id="41"/>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388265471"/>
      <w:r w:rsidRPr="00F97987">
        <w:lastRenderedPageBreak/>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388265472"/>
      <w:r>
        <w:t>порядок заключения договора</w:t>
      </w:r>
      <w:bookmarkEnd w:id="47"/>
    </w:p>
    <w:p w:rsidR="00FD11FA" w:rsidRDefault="005D2116" w:rsidP="00CE257C">
      <w:pPr>
        <w:pStyle w:val="31"/>
      </w:pPr>
      <w:bookmarkStart w:id="48" w:name="_Toc388265473"/>
      <w:r w:rsidRPr="00D82AC3">
        <w:t xml:space="preserve">Срок заключения </w:t>
      </w:r>
      <w:r>
        <w:t>договора</w:t>
      </w:r>
      <w:bookmarkEnd w:id="48"/>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49" w:name="_Toc388265474"/>
      <w:r>
        <w:t>Внесение изменений в договор</w:t>
      </w:r>
      <w:bookmarkEnd w:id="49"/>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388265475"/>
      <w:bookmarkStart w:id="51" w:name="_Toc123405459"/>
      <w:bookmarkEnd w:id="29"/>
      <w:r w:rsidR="00055B3E">
        <w:lastRenderedPageBreak/>
        <w:t>Проект договора</w:t>
      </w:r>
      <w:bookmarkEnd w:id="50"/>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proofErr w:type="gramStart"/>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06475C">
        <w:t>5</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w:t>
      </w:r>
      <w:proofErr w:type="gramEnd"/>
      <w:r w:rsidRPr="00D927A3">
        <w:t xml:space="preserve">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Pr="00D927A3">
        <w:t xml:space="preserve"> надлежащего качества, в количестве, и ассортименте, в соответствии со Спецификацией на поставляемые товары </w:t>
      </w:r>
      <w:r w:rsidRPr="00372413">
        <w:rPr>
          <w:b/>
        </w:rPr>
        <w:t>(Приложение</w:t>
      </w:r>
      <w:r w:rsidR="00372413" w:rsidRPr="00372413">
        <w:rPr>
          <w:b/>
        </w:rPr>
        <w:t xml:space="preserve"> 1</w:t>
      </w:r>
      <w:r w:rsidRPr="00372413">
        <w:rPr>
          <w:b/>
        </w:rPr>
        <w:t>)</w:t>
      </w:r>
      <w:r w:rsidRPr="00D927A3">
        <w:t>,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C51CDD" w:rsidRPr="001B61C0">
        <w:rPr>
          <w:b/>
        </w:rPr>
        <w:t xml:space="preserve">в </w:t>
      </w:r>
      <w:r w:rsidR="008F4634">
        <w:rPr>
          <w:b/>
        </w:rPr>
        <w:t>соответствии с графиком поставки (Приложение 2).</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proofErr w:type="spellStart"/>
            <w:r w:rsidR="00633848">
              <w:rPr>
                <w:bCs/>
                <w:lang w:val="en-US"/>
              </w:rPr>
              <w:t>ocvk</w:t>
            </w:r>
            <w:proofErr w:type="spellEnd"/>
            <w:r w:rsidRPr="00D927A3">
              <w:rPr>
                <w:bCs/>
              </w:rPr>
              <w:t>.</w:t>
            </w:r>
            <w:proofErr w:type="spellStart"/>
            <w:r w:rsidRPr="00D927A3">
              <w:rPr>
                <w:bCs/>
                <w:lang w:val="en-US"/>
              </w:rPr>
              <w:t>ru</w:t>
            </w:r>
            <w:proofErr w:type="spellEnd"/>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Default="00D927A3" w:rsidP="00D927A3">
      <w:pPr>
        <w:suppressAutoHyphens/>
        <w:jc w:val="center"/>
        <w:rPr>
          <w:b/>
        </w:rPr>
      </w:pPr>
    </w:p>
    <w:p w:rsidR="003B65C2" w:rsidRPr="00D927A3" w:rsidRDefault="003B65C2"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1D68F8">
        <w:t>5</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2E0DD4">
        <w:t>исполнения обязательств по настоящему договору</w:t>
      </w:r>
      <w:r w:rsidRPr="00D927A3">
        <w:t>.</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1 Спецификация на поставляемые товары</w:t>
      </w:r>
    </w:p>
    <w:p w:rsidR="00D927A3" w:rsidRDefault="00CE257C" w:rsidP="00CE257C">
      <w:pPr>
        <w:suppressAutoHyphens/>
        <w:ind w:right="1"/>
        <w:jc w:val="left"/>
      </w:pPr>
      <w:r w:rsidRPr="00D927A3">
        <w:t>Приложение 2 График поставки</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proofErr w:type="spellStart"/>
              <w:r w:rsidR="00633848" w:rsidRPr="00CA4808">
                <w:rPr>
                  <w:rStyle w:val="a8"/>
                  <w:sz w:val="20"/>
                  <w:szCs w:val="20"/>
                  <w:lang w:val="en-US"/>
                </w:rPr>
                <w:t>ocvk</w:t>
              </w:r>
              <w:proofErr w:type="spellEnd"/>
              <w:r w:rsidR="00633848" w:rsidRPr="00CA4808">
                <w:rPr>
                  <w:rStyle w:val="a8"/>
                  <w:sz w:val="20"/>
                  <w:szCs w:val="20"/>
                </w:rPr>
                <w:t>.</w:t>
              </w:r>
              <w:proofErr w:type="spellStart"/>
              <w:r w:rsidR="00633848" w:rsidRPr="00CA4808">
                <w:rPr>
                  <w:rStyle w:val="a8"/>
                  <w:sz w:val="20"/>
                  <w:szCs w:val="20"/>
                  <w:lang w:val="en-US"/>
                </w:rPr>
                <w:t>ru</w:t>
              </w:r>
              <w:proofErr w:type="spellEnd"/>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Получатель: МИНФИН ИРКУТСКОЙ ОБЛАСТИ  (ГАУЗ ОЦВК л/</w:t>
            </w:r>
            <w:proofErr w:type="spellStart"/>
            <w:r w:rsidRPr="00D927A3">
              <w:rPr>
                <w:sz w:val="20"/>
                <w:szCs w:val="20"/>
              </w:rPr>
              <w:t>сч</w:t>
            </w:r>
            <w:proofErr w:type="spellEnd"/>
            <w:r w:rsidRPr="00D927A3">
              <w:rPr>
                <w:sz w:val="20"/>
                <w:szCs w:val="20"/>
              </w:rPr>
              <w:t xml:space="preserve"> 80303050041) </w:t>
            </w:r>
          </w:p>
          <w:p w:rsidR="00D927A3" w:rsidRPr="00D927A3" w:rsidRDefault="00D927A3" w:rsidP="00D927A3">
            <w:pPr>
              <w:rPr>
                <w:sz w:val="20"/>
                <w:szCs w:val="20"/>
              </w:rPr>
            </w:pPr>
            <w:r w:rsidRPr="00D927A3">
              <w:rPr>
                <w:sz w:val="20"/>
                <w:szCs w:val="20"/>
              </w:rPr>
              <w:t>р/</w:t>
            </w:r>
            <w:proofErr w:type="spellStart"/>
            <w:r w:rsidRPr="00D927A3">
              <w:rPr>
                <w:sz w:val="20"/>
                <w:szCs w:val="20"/>
              </w:rPr>
              <w:t>сч</w:t>
            </w:r>
            <w:proofErr w:type="spellEnd"/>
            <w:r w:rsidRPr="00D927A3">
              <w:rPr>
                <w:sz w:val="20"/>
                <w:szCs w:val="20"/>
              </w:rPr>
              <w:t xml:space="preserve">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r w:rsidR="00A21F20">
              <w:rPr>
                <w:b/>
                <w:bCs/>
                <w:color w:val="000000"/>
              </w:rPr>
              <w:t xml:space="preserve"> 1</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b/>
          <w:i/>
          <w:kern w:val="28"/>
        </w:rPr>
      </w:pPr>
    </w:p>
    <w:p w:rsidR="00F32783" w:rsidRDefault="00F3278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tbl>
      <w:tblPr>
        <w:tblW w:w="5191" w:type="pct"/>
        <w:tblInd w:w="-176" w:type="dxa"/>
        <w:tblLayout w:type="fixed"/>
        <w:tblLook w:val="04A0" w:firstRow="1" w:lastRow="0" w:firstColumn="1" w:lastColumn="0" w:noHBand="0" w:noVBand="1"/>
      </w:tblPr>
      <w:tblGrid>
        <w:gridCol w:w="506"/>
        <w:gridCol w:w="1477"/>
        <w:gridCol w:w="286"/>
        <w:gridCol w:w="1561"/>
        <w:gridCol w:w="190"/>
        <w:gridCol w:w="94"/>
        <w:gridCol w:w="1133"/>
        <w:gridCol w:w="236"/>
        <w:gridCol w:w="900"/>
        <w:gridCol w:w="139"/>
        <w:gridCol w:w="96"/>
        <w:gridCol w:w="236"/>
        <w:gridCol w:w="806"/>
        <w:gridCol w:w="68"/>
        <w:gridCol w:w="900"/>
        <w:gridCol w:w="166"/>
        <w:gridCol w:w="235"/>
        <w:gridCol w:w="970"/>
        <w:gridCol w:w="231"/>
      </w:tblGrid>
      <w:tr w:rsidR="00A21F20" w:rsidRPr="00140C0D" w:rsidTr="00A21F20">
        <w:trPr>
          <w:gridAfter w:val="1"/>
          <w:wAfter w:w="114" w:type="pct"/>
          <w:trHeight w:val="375"/>
        </w:trPr>
        <w:tc>
          <w:tcPr>
            <w:tcW w:w="968"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r w:rsidRPr="00D927A3">
              <w:br w:type="page"/>
            </w:r>
            <w:r w:rsidRPr="00140C0D">
              <w:rPr>
                <w:color w:val="000000"/>
                <w:sz w:val="22"/>
                <w:szCs w:val="22"/>
              </w:rPr>
              <w:t>ФОРМА</w:t>
            </w:r>
          </w:p>
        </w:tc>
        <w:tc>
          <w:tcPr>
            <w:tcW w:w="996"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600"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2322" w:type="pct"/>
            <w:gridSpan w:val="11"/>
            <w:tcBorders>
              <w:top w:val="nil"/>
              <w:left w:val="nil"/>
              <w:bottom w:val="nil"/>
              <w:right w:val="nil"/>
            </w:tcBorders>
            <w:shd w:val="clear" w:color="auto" w:fill="auto"/>
            <w:noWrap/>
            <w:vAlign w:val="bottom"/>
          </w:tcPr>
          <w:p w:rsidR="00A21F20" w:rsidRPr="00140C0D" w:rsidRDefault="00A21F20" w:rsidP="00F32783">
            <w:pPr>
              <w:jc w:val="right"/>
              <w:rPr>
                <w:b/>
                <w:bCs/>
                <w:color w:val="000000"/>
              </w:rPr>
            </w:pPr>
            <w:r>
              <w:rPr>
                <w:b/>
                <w:bCs/>
                <w:color w:val="000000"/>
              </w:rPr>
              <w:t>Приложение 2</w:t>
            </w:r>
          </w:p>
        </w:tc>
      </w:tr>
      <w:tr w:rsidR="00A21F20" w:rsidRPr="00140C0D" w:rsidTr="00A21F20">
        <w:trPr>
          <w:gridAfter w:val="1"/>
          <w:wAfter w:w="114" w:type="pct"/>
          <w:trHeight w:val="315"/>
        </w:trPr>
        <w:tc>
          <w:tcPr>
            <w:tcW w:w="246" w:type="pct"/>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722" w:type="pct"/>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996"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2922" w:type="pct"/>
            <w:gridSpan w:val="13"/>
            <w:tcBorders>
              <w:top w:val="nil"/>
              <w:left w:val="nil"/>
              <w:bottom w:val="nil"/>
              <w:right w:val="nil"/>
            </w:tcBorders>
            <w:shd w:val="clear" w:color="auto" w:fill="auto"/>
            <w:noWrap/>
            <w:vAlign w:val="bottom"/>
          </w:tcPr>
          <w:p w:rsidR="00A21F20" w:rsidRPr="00140C0D" w:rsidRDefault="00A21F20" w:rsidP="00F32783">
            <w:pPr>
              <w:jc w:val="right"/>
              <w:rPr>
                <w:b/>
                <w:bCs/>
                <w:color w:val="000000"/>
              </w:rPr>
            </w:pPr>
            <w:r w:rsidRPr="00140C0D">
              <w:rPr>
                <w:b/>
                <w:bCs/>
                <w:color w:val="000000"/>
              </w:rPr>
              <w:t>к договору от «__»________201</w:t>
            </w:r>
            <w:r>
              <w:rPr>
                <w:b/>
                <w:bCs/>
                <w:color w:val="000000"/>
              </w:rPr>
              <w:t>5</w:t>
            </w:r>
            <w:r w:rsidRPr="00140C0D">
              <w:rPr>
                <w:b/>
                <w:bCs/>
                <w:color w:val="000000"/>
              </w:rPr>
              <w:t xml:space="preserve"> г. №_______ </w:t>
            </w:r>
          </w:p>
        </w:tc>
      </w:tr>
      <w:tr w:rsidR="00A21F20" w:rsidRPr="00140C0D" w:rsidTr="00A21F20">
        <w:trPr>
          <w:gridAfter w:val="1"/>
          <w:wAfter w:w="114" w:type="pct"/>
          <w:trHeight w:val="315"/>
        </w:trPr>
        <w:tc>
          <w:tcPr>
            <w:tcW w:w="246" w:type="pct"/>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722" w:type="pct"/>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996"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00" w:type="pct"/>
            <w:gridSpan w:val="2"/>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555"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57" w:type="pct"/>
            <w:gridSpan w:val="5"/>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439" w:type="pct"/>
            <w:tcBorders>
              <w:top w:val="nil"/>
              <w:left w:val="nil"/>
              <w:bottom w:val="nil"/>
              <w:right w:val="nil"/>
            </w:tcBorders>
            <w:shd w:val="clear" w:color="auto" w:fill="auto"/>
            <w:noWrap/>
            <w:vAlign w:val="bottom"/>
          </w:tcPr>
          <w:p w:rsidR="00A21F20" w:rsidRPr="00140C0D" w:rsidRDefault="00A21F20" w:rsidP="00F32783">
            <w:pPr>
              <w:rPr>
                <w:rFonts w:ascii="Calibri" w:hAnsi="Calibri" w:cs="Calibri"/>
                <w:color w:val="000000"/>
                <w:sz w:val="22"/>
                <w:szCs w:val="22"/>
              </w:rPr>
            </w:pPr>
          </w:p>
        </w:tc>
        <w:tc>
          <w:tcPr>
            <w:tcW w:w="670" w:type="pct"/>
            <w:gridSpan w:val="3"/>
            <w:tcBorders>
              <w:top w:val="nil"/>
              <w:left w:val="nil"/>
              <w:bottom w:val="nil"/>
              <w:right w:val="nil"/>
            </w:tcBorders>
            <w:shd w:val="clear" w:color="auto" w:fill="auto"/>
            <w:noWrap/>
            <w:vAlign w:val="center"/>
          </w:tcPr>
          <w:p w:rsidR="00A21F20" w:rsidRPr="00140C0D" w:rsidRDefault="00A21F20" w:rsidP="00F32783">
            <w:pPr>
              <w:jc w:val="right"/>
              <w:rPr>
                <w:b/>
                <w:bCs/>
                <w:color w:val="000000"/>
              </w:rPr>
            </w:pPr>
          </w:p>
        </w:tc>
      </w:tr>
      <w:tr w:rsidR="00A21F20" w:rsidRPr="00140C0D" w:rsidTr="00A21F20">
        <w:trPr>
          <w:gridAfter w:val="1"/>
          <w:wAfter w:w="114" w:type="pct"/>
          <w:trHeight w:val="315"/>
        </w:trPr>
        <w:tc>
          <w:tcPr>
            <w:tcW w:w="4886" w:type="pct"/>
            <w:gridSpan w:val="18"/>
            <w:tcBorders>
              <w:top w:val="nil"/>
              <w:left w:val="nil"/>
              <w:bottom w:val="nil"/>
              <w:right w:val="nil"/>
            </w:tcBorders>
            <w:shd w:val="clear" w:color="auto" w:fill="auto"/>
            <w:noWrap/>
            <w:vAlign w:val="center"/>
          </w:tcPr>
          <w:p w:rsidR="00A21F20" w:rsidRDefault="00A21F20" w:rsidP="00F32783">
            <w:pPr>
              <w:jc w:val="center"/>
              <w:rPr>
                <w:b/>
                <w:bCs/>
                <w:color w:val="000000"/>
              </w:rPr>
            </w:pPr>
            <w:r>
              <w:rPr>
                <w:b/>
                <w:bCs/>
                <w:color w:val="000000"/>
              </w:rPr>
              <w:t>График поставки</w:t>
            </w:r>
          </w:p>
          <w:p w:rsidR="00A21F20" w:rsidRPr="00140C0D" w:rsidRDefault="00A21F20" w:rsidP="00F32783">
            <w:pPr>
              <w:jc w:val="center"/>
              <w:rPr>
                <w:b/>
                <w:bCs/>
                <w:color w:val="000000"/>
              </w:rPr>
            </w:pPr>
          </w:p>
        </w:tc>
      </w:tr>
      <w:tr w:rsidR="00A21F20" w:rsidRPr="00D927A3" w:rsidTr="00A21F20">
        <w:trPr>
          <w:gridAfter w:val="1"/>
          <w:wAfter w:w="114" w:type="pct"/>
          <w:trHeight w:val="439"/>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A21F20" w:rsidRPr="00D927A3" w:rsidRDefault="00A21F20" w:rsidP="00A21F20">
            <w:pPr>
              <w:jc w:val="center"/>
              <w:rPr>
                <w:color w:val="000000"/>
                <w:sz w:val="20"/>
                <w:szCs w:val="20"/>
              </w:rPr>
            </w:pPr>
            <w:r w:rsidRPr="00D927A3">
              <w:rPr>
                <w:color w:val="000000"/>
                <w:sz w:val="20"/>
                <w:szCs w:val="20"/>
              </w:rPr>
              <w:t xml:space="preserve">№ </w:t>
            </w:r>
          </w:p>
        </w:tc>
        <w:tc>
          <w:tcPr>
            <w:tcW w:w="1625" w:type="pct"/>
            <w:gridSpan w:val="3"/>
            <w:tcBorders>
              <w:top w:val="single" w:sz="4" w:space="0" w:color="auto"/>
              <w:left w:val="nil"/>
              <w:bottom w:val="single" w:sz="4" w:space="0" w:color="auto"/>
              <w:right w:val="single" w:sz="4" w:space="0" w:color="auto"/>
            </w:tcBorders>
            <w:shd w:val="clear" w:color="auto" w:fill="auto"/>
            <w:vAlign w:val="center"/>
          </w:tcPr>
          <w:p w:rsidR="00A21F20" w:rsidRPr="00D927A3" w:rsidRDefault="00A21F20" w:rsidP="00F32783">
            <w:pPr>
              <w:jc w:val="center"/>
              <w:rPr>
                <w:color w:val="000000"/>
                <w:sz w:val="20"/>
                <w:szCs w:val="20"/>
              </w:rPr>
            </w:pPr>
            <w:r>
              <w:rPr>
                <w:color w:val="000000"/>
                <w:sz w:val="20"/>
                <w:szCs w:val="20"/>
              </w:rPr>
              <w:t>Наименование товара</w:t>
            </w:r>
          </w:p>
        </w:tc>
        <w:tc>
          <w:tcPr>
            <w:tcW w:w="693" w:type="pct"/>
            <w:gridSpan w:val="3"/>
            <w:tcBorders>
              <w:top w:val="single" w:sz="4" w:space="0" w:color="auto"/>
              <w:left w:val="nil"/>
              <w:bottom w:val="single" w:sz="4" w:space="0" w:color="auto"/>
              <w:right w:val="single" w:sz="4" w:space="0" w:color="auto"/>
            </w:tcBorders>
            <w:shd w:val="clear" w:color="auto" w:fill="auto"/>
            <w:vAlign w:val="center"/>
          </w:tcPr>
          <w:p w:rsidR="00A21F20" w:rsidRPr="00D927A3" w:rsidRDefault="00A21F20" w:rsidP="00F32783">
            <w:pPr>
              <w:jc w:val="center"/>
              <w:rPr>
                <w:color w:val="000000"/>
                <w:sz w:val="20"/>
                <w:szCs w:val="20"/>
              </w:rPr>
            </w:pPr>
            <w:proofErr w:type="spellStart"/>
            <w:r>
              <w:rPr>
                <w:color w:val="000000"/>
                <w:sz w:val="20"/>
                <w:szCs w:val="20"/>
              </w:rPr>
              <w:t>Ед.изм</w:t>
            </w:r>
            <w:proofErr w:type="spellEnd"/>
            <w:r>
              <w:rPr>
                <w:color w:val="000000"/>
                <w:sz w:val="20"/>
                <w:szCs w:val="20"/>
              </w:rPr>
              <w:t>.</w:t>
            </w:r>
          </w:p>
        </w:tc>
        <w:tc>
          <w:tcPr>
            <w:tcW w:w="623" w:type="pct"/>
            <w:gridSpan w:val="3"/>
            <w:tcBorders>
              <w:top w:val="single" w:sz="4" w:space="0" w:color="auto"/>
              <w:left w:val="nil"/>
              <w:bottom w:val="single" w:sz="4" w:space="0" w:color="auto"/>
              <w:right w:val="single" w:sz="4" w:space="0" w:color="auto"/>
            </w:tcBorders>
            <w:shd w:val="clear" w:color="auto" w:fill="auto"/>
            <w:vAlign w:val="center"/>
          </w:tcPr>
          <w:p w:rsidR="00A21F20" w:rsidRPr="00D927A3" w:rsidRDefault="00A21F20" w:rsidP="00F32783">
            <w:pPr>
              <w:jc w:val="center"/>
              <w:rPr>
                <w:color w:val="000000"/>
                <w:sz w:val="20"/>
                <w:szCs w:val="20"/>
              </w:rPr>
            </w:pPr>
            <w:r w:rsidRPr="00D927A3">
              <w:rPr>
                <w:color w:val="000000"/>
                <w:sz w:val="20"/>
                <w:szCs w:val="20"/>
              </w:rPr>
              <w:t>Количество</w:t>
            </w:r>
          </w:p>
        </w:tc>
        <w:tc>
          <w:tcPr>
            <w:tcW w:w="1698" w:type="pct"/>
            <w:gridSpan w:val="8"/>
            <w:tcBorders>
              <w:top w:val="single" w:sz="4" w:space="0" w:color="auto"/>
              <w:left w:val="nil"/>
              <w:bottom w:val="single" w:sz="4" w:space="0" w:color="auto"/>
              <w:right w:val="single" w:sz="4" w:space="0" w:color="auto"/>
            </w:tcBorders>
            <w:shd w:val="clear" w:color="auto" w:fill="auto"/>
            <w:vAlign w:val="center"/>
          </w:tcPr>
          <w:p w:rsidR="00A21F20" w:rsidRPr="00D927A3" w:rsidRDefault="00A21F20" w:rsidP="00F32783">
            <w:pPr>
              <w:jc w:val="center"/>
              <w:rPr>
                <w:color w:val="000000"/>
                <w:sz w:val="20"/>
                <w:szCs w:val="20"/>
              </w:rPr>
            </w:pPr>
            <w:r>
              <w:rPr>
                <w:color w:val="000000"/>
                <w:sz w:val="20"/>
                <w:szCs w:val="20"/>
              </w:rPr>
              <w:t>Период поставки</w:t>
            </w:r>
          </w:p>
        </w:tc>
      </w:tr>
      <w:tr w:rsidR="00A21F20" w:rsidRPr="00140C0D" w:rsidTr="00A21F20">
        <w:trPr>
          <w:gridAfter w:val="1"/>
          <w:wAfter w:w="114" w:type="pct"/>
          <w:trHeight w:val="450"/>
        </w:trPr>
        <w:tc>
          <w:tcPr>
            <w:tcW w:w="246" w:type="pct"/>
            <w:tcBorders>
              <w:top w:val="nil"/>
              <w:left w:val="single" w:sz="4" w:space="0" w:color="auto"/>
              <w:bottom w:val="single" w:sz="4" w:space="0" w:color="auto"/>
              <w:right w:val="single" w:sz="4" w:space="0" w:color="auto"/>
            </w:tcBorders>
            <w:shd w:val="clear" w:color="auto" w:fill="auto"/>
            <w:noWrap/>
            <w:vAlign w:val="center"/>
          </w:tcPr>
          <w:p w:rsidR="00A21F20" w:rsidRPr="00140C0D" w:rsidRDefault="00A21F20" w:rsidP="00F32783">
            <w:pPr>
              <w:rPr>
                <w:color w:val="000000"/>
              </w:rPr>
            </w:pPr>
            <w:r w:rsidRPr="00140C0D">
              <w:rPr>
                <w:color w:val="000000"/>
              </w:rPr>
              <w:t> </w:t>
            </w:r>
            <w:r>
              <w:rPr>
                <w:color w:val="000000"/>
              </w:rPr>
              <w:t>1</w:t>
            </w:r>
          </w:p>
        </w:tc>
        <w:tc>
          <w:tcPr>
            <w:tcW w:w="1625"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r w:rsidRPr="00140C0D">
              <w:rPr>
                <w:color w:val="000000"/>
              </w:rPr>
              <w:t> </w:t>
            </w:r>
          </w:p>
        </w:tc>
        <w:tc>
          <w:tcPr>
            <w:tcW w:w="693"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r w:rsidRPr="00140C0D">
              <w:rPr>
                <w:color w:val="000000"/>
              </w:rPr>
              <w:t> </w:t>
            </w:r>
          </w:p>
        </w:tc>
        <w:tc>
          <w:tcPr>
            <w:tcW w:w="623"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r w:rsidRPr="00140C0D">
              <w:rPr>
                <w:color w:val="000000"/>
              </w:rPr>
              <w:t> </w:t>
            </w:r>
          </w:p>
          <w:p w:rsidR="00A21F20" w:rsidRPr="00140C0D" w:rsidRDefault="00A21F20" w:rsidP="00F32783">
            <w:pPr>
              <w:rPr>
                <w:color w:val="000000"/>
              </w:rPr>
            </w:pPr>
            <w:r w:rsidRPr="00140C0D">
              <w:rPr>
                <w:color w:val="000000"/>
              </w:rPr>
              <w:t> </w:t>
            </w:r>
          </w:p>
        </w:tc>
        <w:tc>
          <w:tcPr>
            <w:tcW w:w="1698" w:type="pct"/>
            <w:gridSpan w:val="8"/>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r w:rsidRPr="00140C0D">
              <w:rPr>
                <w:color w:val="000000"/>
              </w:rPr>
              <w:t> </w:t>
            </w:r>
          </w:p>
          <w:p w:rsidR="00A21F20" w:rsidRPr="00140C0D" w:rsidRDefault="00A21F20" w:rsidP="00F32783">
            <w:pPr>
              <w:rPr>
                <w:color w:val="000000"/>
              </w:rPr>
            </w:pPr>
            <w:r w:rsidRPr="00140C0D">
              <w:rPr>
                <w:color w:val="000000"/>
              </w:rPr>
              <w:t> </w:t>
            </w:r>
          </w:p>
        </w:tc>
      </w:tr>
      <w:tr w:rsidR="00A21F20" w:rsidRPr="00140C0D" w:rsidTr="00A21F20">
        <w:trPr>
          <w:gridAfter w:val="1"/>
          <w:wAfter w:w="114" w:type="pct"/>
          <w:trHeight w:val="450"/>
        </w:trPr>
        <w:tc>
          <w:tcPr>
            <w:tcW w:w="246" w:type="pct"/>
            <w:tcBorders>
              <w:top w:val="nil"/>
              <w:left w:val="single" w:sz="4" w:space="0" w:color="auto"/>
              <w:bottom w:val="single" w:sz="4" w:space="0" w:color="auto"/>
              <w:right w:val="single" w:sz="4" w:space="0" w:color="auto"/>
            </w:tcBorders>
            <w:shd w:val="clear" w:color="auto" w:fill="auto"/>
            <w:noWrap/>
            <w:vAlign w:val="center"/>
          </w:tcPr>
          <w:p w:rsidR="00A21F20" w:rsidRPr="00140C0D" w:rsidRDefault="00A21F20" w:rsidP="00A21F20">
            <w:pPr>
              <w:jc w:val="center"/>
              <w:rPr>
                <w:color w:val="000000"/>
              </w:rPr>
            </w:pPr>
            <w:r>
              <w:rPr>
                <w:color w:val="000000"/>
              </w:rPr>
              <w:t>2</w:t>
            </w:r>
          </w:p>
        </w:tc>
        <w:tc>
          <w:tcPr>
            <w:tcW w:w="1625"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p>
        </w:tc>
        <w:tc>
          <w:tcPr>
            <w:tcW w:w="693"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p>
        </w:tc>
        <w:tc>
          <w:tcPr>
            <w:tcW w:w="623" w:type="pct"/>
            <w:gridSpan w:val="3"/>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p>
        </w:tc>
        <w:tc>
          <w:tcPr>
            <w:tcW w:w="1698" w:type="pct"/>
            <w:gridSpan w:val="8"/>
            <w:tcBorders>
              <w:top w:val="nil"/>
              <w:left w:val="nil"/>
              <w:bottom w:val="single" w:sz="4" w:space="0" w:color="auto"/>
              <w:right w:val="single" w:sz="4" w:space="0" w:color="auto"/>
            </w:tcBorders>
            <w:shd w:val="clear" w:color="auto" w:fill="auto"/>
            <w:noWrap/>
            <w:vAlign w:val="center"/>
          </w:tcPr>
          <w:p w:rsidR="00A21F20" w:rsidRPr="00140C0D" w:rsidRDefault="00A21F20" w:rsidP="00F32783">
            <w:pPr>
              <w:rPr>
                <w:color w:val="000000"/>
              </w:rPr>
            </w:pPr>
          </w:p>
        </w:tc>
      </w:tr>
      <w:tr w:rsidR="00A21F20" w:rsidRPr="00140C0D" w:rsidTr="00A21F20">
        <w:trPr>
          <w:trHeight w:val="315"/>
        </w:trPr>
        <w:tc>
          <w:tcPr>
            <w:tcW w:w="246"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1625"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93"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115"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5"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115"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1063" w:type="pct"/>
            <w:gridSpan w:val="5"/>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87"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r>
      <w:tr w:rsidR="00A21F20" w:rsidRPr="00140C0D" w:rsidTr="00A21F20">
        <w:trPr>
          <w:gridAfter w:val="1"/>
          <w:wAfter w:w="116" w:type="pct"/>
          <w:trHeight w:val="315"/>
        </w:trPr>
        <w:tc>
          <w:tcPr>
            <w:tcW w:w="247"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862"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902"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3"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5"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24" w:type="pct"/>
            <w:gridSpan w:val="4"/>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4"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88"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r>
      <w:tr w:rsidR="00A21F20" w:rsidRPr="00140C0D" w:rsidTr="00A21F20">
        <w:trPr>
          <w:gridAfter w:val="1"/>
          <w:wAfter w:w="116" w:type="pct"/>
          <w:trHeight w:val="285"/>
        </w:trPr>
        <w:tc>
          <w:tcPr>
            <w:tcW w:w="1109" w:type="pct"/>
            <w:gridSpan w:val="3"/>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r w:rsidRPr="00140C0D">
              <w:rPr>
                <w:b/>
                <w:bCs/>
                <w:color w:val="000000"/>
                <w:sz w:val="22"/>
                <w:szCs w:val="22"/>
              </w:rPr>
              <w:t>Заказчик:</w:t>
            </w:r>
          </w:p>
        </w:tc>
        <w:tc>
          <w:tcPr>
            <w:tcW w:w="902" w:type="pct"/>
            <w:gridSpan w:val="3"/>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p>
        </w:tc>
        <w:tc>
          <w:tcPr>
            <w:tcW w:w="553" w:type="pct"/>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p>
        </w:tc>
        <w:tc>
          <w:tcPr>
            <w:tcW w:w="1179" w:type="pct"/>
            <w:gridSpan w:val="6"/>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r w:rsidRPr="00140C0D">
              <w:rPr>
                <w:b/>
                <w:bCs/>
                <w:color w:val="000000"/>
                <w:sz w:val="22"/>
                <w:szCs w:val="22"/>
              </w:rPr>
              <w:t>Поставщик:</w:t>
            </w:r>
          </w:p>
        </w:tc>
        <w:tc>
          <w:tcPr>
            <w:tcW w:w="554" w:type="pct"/>
            <w:gridSpan w:val="3"/>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p>
        </w:tc>
        <w:tc>
          <w:tcPr>
            <w:tcW w:w="588" w:type="pct"/>
            <w:gridSpan w:val="2"/>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p>
        </w:tc>
      </w:tr>
      <w:tr w:rsidR="00A21F20" w:rsidRPr="00140C0D" w:rsidTr="00A21F20">
        <w:trPr>
          <w:gridAfter w:val="1"/>
          <w:wAfter w:w="116" w:type="pct"/>
          <w:trHeight w:val="300"/>
        </w:trPr>
        <w:tc>
          <w:tcPr>
            <w:tcW w:w="247" w:type="pct"/>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862"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902"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53" w:type="pct"/>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55"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624" w:type="pct"/>
            <w:gridSpan w:val="4"/>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54"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88"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r>
      <w:tr w:rsidR="00A21F20" w:rsidRPr="00140C0D" w:rsidTr="00A21F20">
        <w:trPr>
          <w:gridAfter w:val="1"/>
          <w:wAfter w:w="116" w:type="pct"/>
          <w:trHeight w:val="300"/>
        </w:trPr>
        <w:tc>
          <w:tcPr>
            <w:tcW w:w="1109" w:type="pct"/>
            <w:gridSpan w:val="3"/>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r w:rsidRPr="00140C0D">
              <w:rPr>
                <w:b/>
                <w:bCs/>
                <w:color w:val="000000"/>
                <w:sz w:val="22"/>
                <w:szCs w:val="22"/>
              </w:rPr>
              <w:t>Главный врач</w:t>
            </w:r>
          </w:p>
        </w:tc>
        <w:tc>
          <w:tcPr>
            <w:tcW w:w="902"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53" w:type="pct"/>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1179" w:type="pct"/>
            <w:gridSpan w:val="6"/>
            <w:tcBorders>
              <w:top w:val="nil"/>
              <w:left w:val="nil"/>
              <w:bottom w:val="nil"/>
              <w:right w:val="nil"/>
            </w:tcBorders>
            <w:shd w:val="clear" w:color="auto" w:fill="auto"/>
            <w:noWrap/>
            <w:vAlign w:val="bottom"/>
          </w:tcPr>
          <w:p w:rsidR="00A21F20" w:rsidRPr="00140C0D" w:rsidRDefault="00A21F20" w:rsidP="00F32783">
            <w:pPr>
              <w:rPr>
                <w:b/>
                <w:bCs/>
                <w:color w:val="000000"/>
                <w:sz w:val="22"/>
                <w:szCs w:val="22"/>
              </w:rPr>
            </w:pPr>
            <w:r w:rsidRPr="00140C0D">
              <w:rPr>
                <w:b/>
                <w:bCs/>
                <w:color w:val="000000"/>
                <w:sz w:val="22"/>
                <w:szCs w:val="22"/>
              </w:rPr>
              <w:t>Руководитель</w:t>
            </w:r>
          </w:p>
        </w:tc>
        <w:tc>
          <w:tcPr>
            <w:tcW w:w="554"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c>
          <w:tcPr>
            <w:tcW w:w="588" w:type="pct"/>
            <w:gridSpan w:val="2"/>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p>
        </w:tc>
      </w:tr>
      <w:tr w:rsidR="00A21F20" w:rsidRPr="00140C0D" w:rsidTr="00A21F20">
        <w:trPr>
          <w:gridAfter w:val="1"/>
          <w:wAfter w:w="116" w:type="pct"/>
          <w:trHeight w:val="540"/>
        </w:trPr>
        <w:tc>
          <w:tcPr>
            <w:tcW w:w="247" w:type="pct"/>
            <w:tcBorders>
              <w:top w:val="nil"/>
              <w:left w:val="nil"/>
              <w:bottom w:val="single" w:sz="4" w:space="0" w:color="auto"/>
              <w:right w:val="nil"/>
            </w:tcBorders>
            <w:shd w:val="clear" w:color="auto" w:fill="auto"/>
            <w:noWrap/>
            <w:vAlign w:val="center"/>
          </w:tcPr>
          <w:p w:rsidR="00A21F20" w:rsidRPr="00140C0D" w:rsidRDefault="00A21F20" w:rsidP="00F32783">
            <w:pPr>
              <w:rPr>
                <w:color w:val="000000"/>
              </w:rPr>
            </w:pPr>
            <w:r w:rsidRPr="00140C0D">
              <w:rPr>
                <w:color w:val="000000"/>
              </w:rPr>
              <w:t> </w:t>
            </w:r>
          </w:p>
        </w:tc>
        <w:tc>
          <w:tcPr>
            <w:tcW w:w="862" w:type="pct"/>
            <w:gridSpan w:val="2"/>
            <w:tcBorders>
              <w:top w:val="nil"/>
              <w:left w:val="nil"/>
              <w:bottom w:val="single" w:sz="4" w:space="0" w:color="auto"/>
              <w:right w:val="nil"/>
            </w:tcBorders>
            <w:shd w:val="clear" w:color="auto" w:fill="auto"/>
            <w:noWrap/>
            <w:vAlign w:val="center"/>
          </w:tcPr>
          <w:p w:rsidR="00A21F20" w:rsidRPr="00140C0D" w:rsidRDefault="00A21F20" w:rsidP="00F32783">
            <w:pPr>
              <w:rPr>
                <w:color w:val="000000"/>
              </w:rPr>
            </w:pPr>
            <w:r w:rsidRPr="00140C0D">
              <w:rPr>
                <w:color w:val="000000"/>
              </w:rPr>
              <w:t> </w:t>
            </w:r>
          </w:p>
        </w:tc>
        <w:tc>
          <w:tcPr>
            <w:tcW w:w="902" w:type="pct"/>
            <w:gridSpan w:val="3"/>
            <w:tcBorders>
              <w:top w:val="nil"/>
              <w:left w:val="nil"/>
              <w:bottom w:val="nil"/>
              <w:right w:val="nil"/>
            </w:tcBorders>
            <w:shd w:val="clear" w:color="auto" w:fill="auto"/>
            <w:noWrap/>
            <w:vAlign w:val="bottom"/>
          </w:tcPr>
          <w:p w:rsidR="00A21F20" w:rsidRPr="00140C0D" w:rsidRDefault="00A21F20" w:rsidP="00F32783">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53"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5" w:type="pct"/>
            <w:gridSpan w:val="2"/>
            <w:tcBorders>
              <w:top w:val="nil"/>
              <w:left w:val="nil"/>
              <w:bottom w:val="single" w:sz="4" w:space="0" w:color="auto"/>
              <w:right w:val="nil"/>
            </w:tcBorders>
            <w:shd w:val="clear" w:color="auto" w:fill="auto"/>
            <w:noWrap/>
            <w:vAlign w:val="center"/>
          </w:tcPr>
          <w:p w:rsidR="00A21F20" w:rsidRPr="00140C0D" w:rsidRDefault="00A21F20" w:rsidP="00F32783">
            <w:pPr>
              <w:rPr>
                <w:color w:val="000000"/>
              </w:rPr>
            </w:pPr>
            <w:r w:rsidRPr="00140C0D">
              <w:rPr>
                <w:color w:val="000000"/>
              </w:rPr>
              <w:t> </w:t>
            </w:r>
          </w:p>
        </w:tc>
        <w:tc>
          <w:tcPr>
            <w:tcW w:w="624" w:type="pct"/>
            <w:gridSpan w:val="4"/>
            <w:tcBorders>
              <w:top w:val="nil"/>
              <w:left w:val="nil"/>
              <w:bottom w:val="single" w:sz="4" w:space="0" w:color="auto"/>
              <w:right w:val="nil"/>
            </w:tcBorders>
            <w:shd w:val="clear" w:color="auto" w:fill="auto"/>
            <w:noWrap/>
            <w:vAlign w:val="center"/>
          </w:tcPr>
          <w:p w:rsidR="00A21F20" w:rsidRPr="00140C0D" w:rsidRDefault="00A21F20" w:rsidP="00F32783">
            <w:pPr>
              <w:rPr>
                <w:color w:val="000000"/>
              </w:rPr>
            </w:pPr>
            <w:r w:rsidRPr="00140C0D">
              <w:rPr>
                <w:color w:val="000000"/>
              </w:rPr>
              <w:t> </w:t>
            </w:r>
          </w:p>
        </w:tc>
        <w:tc>
          <w:tcPr>
            <w:tcW w:w="1142" w:type="pct"/>
            <w:gridSpan w:val="5"/>
            <w:tcBorders>
              <w:top w:val="nil"/>
              <w:left w:val="nil"/>
              <w:bottom w:val="nil"/>
              <w:right w:val="nil"/>
            </w:tcBorders>
            <w:shd w:val="clear" w:color="auto" w:fill="auto"/>
            <w:noWrap/>
            <w:vAlign w:val="bottom"/>
          </w:tcPr>
          <w:p w:rsidR="00A21F20" w:rsidRPr="00140C0D" w:rsidRDefault="00A21F20" w:rsidP="00F32783">
            <w:pPr>
              <w:rPr>
                <w:color w:val="000000"/>
              </w:rPr>
            </w:pPr>
            <w:r w:rsidRPr="00140C0D">
              <w:rPr>
                <w:color w:val="000000"/>
              </w:rPr>
              <w:t xml:space="preserve"> /_______________/</w:t>
            </w:r>
          </w:p>
        </w:tc>
      </w:tr>
      <w:tr w:rsidR="00A21F20" w:rsidRPr="00140C0D" w:rsidTr="00A21F20">
        <w:trPr>
          <w:gridAfter w:val="1"/>
          <w:wAfter w:w="116" w:type="pct"/>
          <w:trHeight w:val="315"/>
        </w:trPr>
        <w:tc>
          <w:tcPr>
            <w:tcW w:w="247"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862"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902"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3"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5"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24" w:type="pct"/>
            <w:gridSpan w:val="4"/>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473"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69"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r>
      <w:tr w:rsidR="00A21F20" w:rsidRPr="00140C0D" w:rsidTr="00A21F20">
        <w:trPr>
          <w:gridAfter w:val="1"/>
          <w:wAfter w:w="116" w:type="pct"/>
          <w:trHeight w:val="315"/>
        </w:trPr>
        <w:tc>
          <w:tcPr>
            <w:tcW w:w="1109"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r w:rsidRPr="00140C0D">
              <w:rPr>
                <w:color w:val="000000"/>
              </w:rPr>
              <w:t>М.П</w:t>
            </w:r>
            <w:r>
              <w:rPr>
                <w:color w:val="000000"/>
              </w:rPr>
              <w:t>.</w:t>
            </w:r>
          </w:p>
        </w:tc>
        <w:tc>
          <w:tcPr>
            <w:tcW w:w="902"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3" w:type="pct"/>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555"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r w:rsidRPr="00140C0D">
              <w:rPr>
                <w:color w:val="000000"/>
              </w:rPr>
              <w:t>М.П.</w:t>
            </w:r>
          </w:p>
        </w:tc>
        <w:tc>
          <w:tcPr>
            <w:tcW w:w="624" w:type="pct"/>
            <w:gridSpan w:val="4"/>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473" w:type="pct"/>
            <w:gridSpan w:val="2"/>
            <w:tcBorders>
              <w:top w:val="nil"/>
              <w:left w:val="nil"/>
              <w:bottom w:val="nil"/>
              <w:right w:val="nil"/>
            </w:tcBorders>
            <w:shd w:val="clear" w:color="auto" w:fill="auto"/>
            <w:noWrap/>
            <w:vAlign w:val="center"/>
          </w:tcPr>
          <w:p w:rsidR="00A21F20" w:rsidRPr="00140C0D" w:rsidRDefault="00A21F20" w:rsidP="00F32783">
            <w:pPr>
              <w:rPr>
                <w:color w:val="000000"/>
              </w:rPr>
            </w:pPr>
          </w:p>
        </w:tc>
        <w:tc>
          <w:tcPr>
            <w:tcW w:w="669" w:type="pct"/>
            <w:gridSpan w:val="3"/>
            <w:tcBorders>
              <w:top w:val="nil"/>
              <w:left w:val="nil"/>
              <w:bottom w:val="nil"/>
              <w:right w:val="nil"/>
            </w:tcBorders>
            <w:shd w:val="clear" w:color="auto" w:fill="auto"/>
            <w:noWrap/>
            <w:vAlign w:val="center"/>
          </w:tcPr>
          <w:p w:rsidR="00A21F20" w:rsidRPr="00140C0D" w:rsidRDefault="00A21F20" w:rsidP="00F32783">
            <w:pPr>
              <w:rPr>
                <w:color w:val="000000"/>
              </w:rPr>
            </w:pPr>
          </w:p>
        </w:tc>
      </w:tr>
    </w:tbl>
    <w:p w:rsidR="001D68F8" w:rsidRDefault="00F02F7C" w:rsidP="001D68F8">
      <w:pPr>
        <w:pStyle w:val="20"/>
        <w:tabs>
          <w:tab w:val="left" w:pos="284"/>
        </w:tabs>
        <w:ind w:left="0" w:firstLine="0"/>
      </w:pPr>
      <w:r>
        <w:rPr>
          <w:rFonts w:ascii="Arial" w:hAnsi="Arial"/>
        </w:rPr>
        <w:br w:type="page"/>
      </w:r>
      <w:bookmarkStart w:id="52" w:name="_Toc388265476"/>
      <w:bookmarkStart w:id="53" w:name="_Toc127782225"/>
      <w:bookmarkEnd w:id="1"/>
      <w:bookmarkEnd w:id="51"/>
      <w:r w:rsidR="001D68F8">
        <w:lastRenderedPageBreak/>
        <w:t>ФОРМА ЗАЯВКИ</w:t>
      </w:r>
    </w:p>
    <w:bookmarkEnd w:id="52"/>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06475C">
        <w:rPr>
          <w:b/>
          <w:color w:val="0000FF"/>
        </w:rPr>
        <w:t>5</w:t>
      </w:r>
      <w:r>
        <w:rPr>
          <w:b/>
          <w:color w:val="0000FF"/>
        </w:rPr>
        <w:t>-З</w:t>
      </w:r>
      <w:r w:rsidRPr="00A86693">
        <w:rPr>
          <w:b/>
          <w:color w:val="0000FF"/>
        </w:rPr>
        <w:t>К/1</w:t>
      </w:r>
      <w:r w:rsidR="0006475C">
        <w:rPr>
          <w:b/>
          <w:color w:val="0000FF"/>
        </w:rPr>
        <w:t>5</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413A60">
          <w:headerReference w:type="default" r:id="rId15"/>
          <w:footerReference w:type="even" r:id="rId16"/>
          <w:footerReference w:type="default" r:id="rId17"/>
          <w:pgSz w:w="11906" w:h="16838"/>
          <w:pgMar w:top="993"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lastRenderedPageBreak/>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7438BB">
        <w:rPr>
          <w:b/>
          <w:color w:val="0000FF"/>
        </w:rPr>
        <w:t>5</w:t>
      </w:r>
      <w:r w:rsidRPr="00F4656B">
        <w:rPr>
          <w:b/>
          <w:color w:val="0000FF"/>
        </w:rPr>
        <w:t>-</w:t>
      </w:r>
      <w:r w:rsidR="00E664D5">
        <w:rPr>
          <w:b/>
          <w:color w:val="0000FF"/>
        </w:rPr>
        <w:t>З</w:t>
      </w:r>
      <w:r w:rsidRPr="00F4656B">
        <w:rPr>
          <w:b/>
          <w:color w:val="0000FF"/>
        </w:rPr>
        <w:t>К/1</w:t>
      </w:r>
      <w:r w:rsidR="007438BB">
        <w:rPr>
          <w:b/>
          <w:color w:val="0000FF"/>
        </w:rPr>
        <w:t>5</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5" w:name="_Toc388265478"/>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8C78AD">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CA" w:rsidRDefault="00637BCA">
      <w:r>
        <w:separator/>
      </w:r>
    </w:p>
  </w:endnote>
  <w:endnote w:type="continuationSeparator" w:id="0">
    <w:p w:rsidR="00637BCA" w:rsidRDefault="0063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C9" w:rsidRDefault="002F01C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F01C9" w:rsidRDefault="002F01C9"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C9" w:rsidRDefault="002F01C9">
    <w:pPr>
      <w:pStyle w:val="af2"/>
      <w:jc w:val="center"/>
    </w:pPr>
    <w:r>
      <w:fldChar w:fldCharType="begin"/>
    </w:r>
    <w:r>
      <w:instrText>PAGE   \* MERGEFORMAT</w:instrText>
    </w:r>
    <w:r>
      <w:fldChar w:fldCharType="separate"/>
    </w:r>
    <w:r w:rsidR="00CE257C">
      <w:t>19</w:t>
    </w:r>
    <w:r>
      <w:fldChar w:fldCharType="end"/>
    </w:r>
  </w:p>
  <w:p w:rsidR="002F01C9" w:rsidRDefault="002F01C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C9" w:rsidRDefault="002F01C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F01C9" w:rsidRDefault="002F01C9"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CA" w:rsidRDefault="00637BCA">
      <w:r>
        <w:separator/>
      </w:r>
    </w:p>
  </w:footnote>
  <w:footnote w:type="continuationSeparator" w:id="0">
    <w:p w:rsidR="00637BCA" w:rsidRDefault="0063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C9" w:rsidRPr="00EB0120" w:rsidRDefault="002F01C9"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5-ЗК/15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38BB"/>
    <w:rsid w:val="00746766"/>
    <w:rsid w:val="0074729C"/>
    <w:rsid w:val="00751AD0"/>
    <w:rsid w:val="007533F6"/>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1F20"/>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E00244"/>
    <w:rsid w:val="00E01264"/>
    <w:rsid w:val="00E01355"/>
    <w:rsid w:val="00E02A2E"/>
    <w:rsid w:val="00E06EED"/>
    <w:rsid w:val="00E07F3E"/>
    <w:rsid w:val="00E125A9"/>
    <w:rsid w:val="00E1517B"/>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2783"/>
    <w:rsid w:val="00F345F2"/>
    <w:rsid w:val="00F34888"/>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8098-BB93-4080-B204-5F5BD79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Pages>
  <Words>6509</Words>
  <Characters>37106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43528</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33</cp:revision>
  <cp:lastPrinted>2014-12-11T06:25:00Z</cp:lastPrinted>
  <dcterms:created xsi:type="dcterms:W3CDTF">2014-12-02T01:46:00Z</dcterms:created>
  <dcterms:modified xsi:type="dcterms:W3CDTF">2015-02-25T08:57:00Z</dcterms:modified>
</cp:coreProperties>
</file>